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15.xml" ContentType="application/vnd.ms-office.chartcolorstyle+xml"/>
  <Override PartName="/word/charts/chart/colors16.xml" ContentType="application/vnd.ms-office.chartcolorstyle+xml"/>
  <Override PartName="/word/charts/chart/colors17.xml" ContentType="application/vnd.ms-office.chartcolorstyle+xml"/>
  <Override PartName="/word/charts/chart/colors18.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15.xml" ContentType="application/vnd.ms-office.chartstyle+xml"/>
  <Override PartName="/word/charts/chart/style16.xml" ContentType="application/vnd.ms-office.chartstyle+xml"/>
  <Override PartName="/word/charts/chart/style17.xml" ContentType="application/vnd.ms-office.chartstyle+xml"/>
  <Override PartName="/word/charts/chart/style18.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17.xml" ContentType="application/vnd.openxmlformats-officedocument.themeOverride+xml"/>
  <Override PartName="/word/theme/themeOverride18.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642089" w:rsidRPr="00EA76EA" w:rsidP="0051066D">
      <w:pPr>
        <w:spacing w:before="240" w:after="400" w:line="240" w:lineRule="auto"/>
        <w:ind w:right="420"/>
        <w:rPr>
          <w:b/>
          <w:sz w:val="48"/>
          <w:szCs w:val="48"/>
          <w:lang w:val="en-AU"/>
        </w:rPr>
      </w:pPr>
      <w:r w:rsidRPr="00EA76EA">
        <w:rPr>
          <w:b/>
          <w:noProof/>
          <w:sz w:val="48"/>
          <w:szCs w:val="48"/>
          <w:lang w:val="en-AU"/>
        </w:rPr>
        <w:t>2023</w:t>
      </w:r>
      <w:r w:rsidRPr="00EA76EA" w:rsidR="0009470D">
        <w:rPr>
          <w:b/>
          <w:sz w:val="48"/>
          <w:szCs w:val="48"/>
          <w:lang w:val="en-AU"/>
        </w:rPr>
        <w:t xml:space="preserve"> Annual Report to</w:t>
      </w:r>
      <w:r w:rsidRPr="00EA76EA">
        <w:rPr>
          <w:b/>
          <w:sz w:val="48"/>
          <w:szCs w:val="48"/>
          <w:lang w:val="en-AU"/>
        </w:rPr>
        <w:t xml:space="preserve"> t</w:t>
      </w:r>
      <w:r w:rsidRPr="00EA76EA" w:rsidR="0009470D">
        <w:rPr>
          <w:b/>
          <w:sz w:val="48"/>
          <w:szCs w:val="48"/>
          <w:lang w:val="en-AU"/>
        </w:rPr>
        <w:t>he</w:t>
      </w:r>
      <w:r w:rsidRPr="00EA76EA" w:rsidR="0051066D">
        <w:rPr>
          <w:b/>
          <w:sz w:val="48"/>
          <w:szCs w:val="48"/>
          <w:lang w:val="en-AU"/>
        </w:rPr>
        <w:t xml:space="preserve"> </w:t>
      </w:r>
      <w:r w:rsidRPr="00EA76EA" w:rsidR="0009470D">
        <w:rPr>
          <w:b/>
          <w:sz w:val="48"/>
          <w:szCs w:val="48"/>
          <w:lang w:val="en-AU"/>
        </w:rPr>
        <w:t>School Community</w:t>
      </w:r>
    </w:p>
    <w:tbl>
      <w:tblPr>
        <w:tblStyle w:val="TableGrid"/>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B2552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642089" w:rsidRPr="00EA76EA" w:rsidP="00B25523">
            <w:pPr>
              <w:ind w:left="-509" w:right="419"/>
              <w:jc w:val="center"/>
              <w:rPr>
                <w:color w:val="595959" w:themeColor="text1" w:themeTint="A6"/>
                <w:lang w:val="en-AU"/>
              </w:rPr>
            </w:pPr>
            <w:r w:rsidRPr="00EA76EA">
              <w:rPr>
                <w:noProof/>
                <w:color w:val="595959" w:themeColor="text1" w:themeTint="A6"/>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1428949" cy="1371791"/>
                  <wp:wrapNone/>
                  <wp:docPr id="100019" name=""/>
                  <wp:cNvGraphicFramePr/>
                  <a:graphic xmlns:a="http://schemas.openxmlformats.org/drawingml/2006/main">
                    <a:graphicData uri="http://schemas.openxmlformats.org/drawingml/2006/picture">
                      <pic:pic xmlns:pic="http://schemas.openxmlformats.org/drawingml/2006/picture">
                        <pic:nvPicPr>
                          <pic:cNvPr id="100019" name=""/>
                          <pic:cNvPicPr/>
                        </pic:nvPicPr>
                        <pic:blipFill>
                          <a:blip xmlns:r="http://schemas.openxmlformats.org/officeDocument/2006/relationships" r:embed="rId9"/>
                          <a:stretch>
                            <a:fillRect/>
                          </a:stretch>
                        </pic:blipFill>
                        <pic:spPr>
                          <a:xfrm>
                            <a:off x="0" y="0"/>
                            <a:ext cx="1428949" cy="1371791"/>
                          </a:xfrm>
                          <a:prstGeom prst="rect">
                            <a:avLst/>
                          </a:prstGeom>
                        </pic:spPr>
                      </pic:pic>
                    </a:graphicData>
                  </a:graphic>
                </wp:anchor>
              </w:drawing>
            </w:r>
          </w:p>
        </w:tc>
        <w:tc>
          <w:tcPr>
            <w:tcW w:w="6229" w:type="dxa"/>
          </w:tcPr>
          <w:p w:rsidR="00642089" w:rsidRPr="00EA76EA" w:rsidP="00B25523">
            <w:pPr>
              <w:ind w:right="419"/>
              <w:rPr>
                <w:color w:val="595959" w:themeColor="text1" w:themeTint="A6"/>
                <w:lang w:val="en-AU"/>
              </w:rPr>
            </w:pPr>
            <w:r w:rsidRPr="00EA76EA">
              <w:rPr>
                <w:noProof/>
                <w:lang w:val="en-AU"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2292778</wp:posOffset>
                      </wp:positionV>
                      <wp:extent cx="7200000" cy="35064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00000" cy="3506400"/>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642089" w:rsidRPr="003E0246" w:rsidP="00642089">
                                        <w:pPr>
                                          <w:numPr>
                                            <w:ilvl w:val="0"/>
                                            <w:numId w:val="25"/>
                                          </w:numPr>
                                          <w:spacing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376AC0" w:rsidP="00642089">
                                        <w:pPr>
                                          <w:numPr>
                                            <w:ilvl w:val="0"/>
                                            <w:numId w:val="25"/>
                                          </w:numPr>
                                          <w:spacing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A66941" w:rsidP="00376AC0">
                                        <w:pPr>
                                          <w:numPr>
                                            <w:ilvl w:val="0"/>
                                            <w:numId w:val="25"/>
                                          </w:numPr>
                                          <w:spacing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A66941" w:rsidRPr="00642089" w:rsidP="000D139C">
                                        <w:pPr>
                                          <w:spacing w:before="240" w:after="0" w:line="240" w:lineRule="auto"/>
                                        </w:pPr>
                                        <w:r w:rsidRPr="00642089">
                                          <w:t>Attested on 22 March 2024 at 04:19 PM by Joanne Cucchiara (Principal)</w:t>
                                        </w:r>
                                      </w:p>
                                    </w:tc>
                                  </w:tr>
                                </w:tbl>
                                <w:p w:rsidR="00A66941" w:rsidP="0051066D">
                                  <w:pPr>
                                    <w:spacing w:before="240" w:after="400" w:line="240" w:lineRule="auto"/>
                                  </w:pPr>
                                </w:p>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A66941" w:rsidP="000D139C">
                                        <w:pPr>
                                          <w:numPr>
                                            <w:ilvl w:val="0"/>
                                            <w:numId w:val="26"/>
                                          </w:numPr>
                                          <w:spacing w:after="0" w:line="240" w:lineRule="auto"/>
                                          <w:ind w:left="301"/>
                                          <w:rPr>
                                            <w:color w:val="333333"/>
                                            <w:sz w:val="16"/>
                                            <w:szCs w:val="16"/>
                                          </w:rPr>
                                        </w:pPr>
                                        <w:r w:rsidRPr="008F51EB">
                                          <w:rPr>
                                            <w:szCs w:val="10"/>
                                          </w:rPr>
                                          <w:t xml:space="preserve">This </w:t>
                                        </w:r>
                                        <w:r>
                                          <w:rPr>
                                            <w:noProof/>
                                          </w:rPr>
                                          <w:t>2023</w:t>
                                        </w:r>
                                        <w:r w:rsidRPr="008F51EB">
                                          <w:rPr>
                                            <w:szCs w:val="10"/>
                                          </w:rPr>
                                          <w:t xml:space="preserve"> Annual Report to the School Community has been tabled and endorsed at a meeting of the school council and will be publicly shared with the school community</w:t>
                                        </w:r>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A66941" w:rsidRPr="00642089" w:rsidP="000D139C">
                                        <w:pPr>
                                          <w:spacing w:before="240" w:after="0" w:line="240" w:lineRule="auto"/>
                                        </w:pPr>
                                        <w:r w:rsidRPr="00642089">
                                          <w:t>Attested on 26 April 2024 at 02:45 PM by Michelle Generowicz (School Council President)</w:t>
                                        </w:r>
                                      </w:p>
                                    </w:tc>
                                  </w:tr>
                                </w:tbl>
                                <w:p w:rsidR="00A66941" w:rsidP="00177D7F"/>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276.09pt;margin-left:-164.9pt;margin-top:180.53pt;mso-height-percent:0;mso-height-relative:margin;mso-position-horizontal-relative:margin;mso-width-percent:0;mso-width-relative:margin;mso-wrap-distance-bottom:0;mso-wrap-distance-left:9pt;mso-wrap-distance-right:9pt;mso-wrap-distance-top:0;position:absolute;width:566.93pt;z-index:251659264" filled="f" fillcolor="this" stroked="f">
                      <v:textbox>
                        <w:txbxContent>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642089" w:rsidRPr="003E0246" w:rsidP="00642089">
                                  <w:pPr>
                                    <w:numPr>
                                      <w:ilvl w:val="0"/>
                                      <w:numId w:val="25"/>
                                    </w:numPr>
                                    <w:spacing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376AC0" w:rsidP="00642089">
                                  <w:pPr>
                                    <w:numPr>
                                      <w:ilvl w:val="0"/>
                                      <w:numId w:val="25"/>
                                    </w:numPr>
                                    <w:spacing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A66941" w:rsidP="00376AC0">
                                  <w:pPr>
                                    <w:numPr>
                                      <w:ilvl w:val="0"/>
                                      <w:numId w:val="25"/>
                                    </w:numPr>
                                    <w:spacing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A66941" w:rsidRPr="00642089" w:rsidP="000D139C">
                                  <w:pPr>
                                    <w:spacing w:before="240" w:after="0" w:line="240" w:lineRule="auto"/>
                                  </w:pPr>
                                  <w:r w:rsidRPr="00642089">
                                    <w:t>Attested on 22 March 2024 at 04:19 PM by Joanne Cucchiara (Principal)</w:t>
                                  </w:r>
                                </w:p>
                              </w:tc>
                            </w:tr>
                          </w:tbl>
                          <w:p w:rsidR="00A66941" w:rsidP="0051066D">
                            <w:pPr>
                              <w:spacing w:before="240" w:after="400" w:line="240" w:lineRule="auto"/>
                            </w:pPr>
                          </w:p>
                          <w:tbl>
                            <w:tblPr>
                              <w:tblStyle w:val="TableGrid"/>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A66941" w:rsidP="000D139C">
                                  <w:pPr>
                                    <w:numPr>
                                      <w:ilvl w:val="0"/>
                                      <w:numId w:val="26"/>
                                    </w:numPr>
                                    <w:spacing w:after="0" w:line="240" w:lineRule="auto"/>
                                    <w:ind w:left="301"/>
                                    <w:rPr>
                                      <w:color w:val="333333"/>
                                      <w:sz w:val="16"/>
                                      <w:szCs w:val="16"/>
                                    </w:rPr>
                                  </w:pPr>
                                  <w:r w:rsidRPr="008F51EB">
                                    <w:rPr>
                                      <w:szCs w:val="10"/>
                                    </w:rPr>
                                    <w:t xml:space="preserve">This </w:t>
                                  </w:r>
                                  <w:r>
                                    <w:rPr>
                                      <w:noProof/>
                                    </w:rPr>
                                    <w:t>2023</w:t>
                                  </w:r>
                                  <w:r w:rsidRPr="008F51EB">
                                    <w:rPr>
                                      <w:szCs w:val="10"/>
                                    </w:rPr>
                                    <w:t xml:space="preserve"> Annual Report to the School Community has been tabled and endorsed at a meeting of the school council and will be publicly shared with the school community</w:t>
                                  </w:r>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A66941" w:rsidRPr="00642089" w:rsidP="000D139C">
                                  <w:pPr>
                                    <w:spacing w:before="240" w:after="0" w:line="240" w:lineRule="auto"/>
                                  </w:pPr>
                                  <w:r w:rsidRPr="00642089">
                                    <w:t>Attested on 26 April 2024 at 02:45 PM by Michelle Generowicz (School Council President)</w:t>
                                  </w:r>
                                </w:p>
                              </w:tc>
                            </w:tr>
                          </w:tbl>
                          <w:p w:rsidR="00A66941" w:rsidP="00177D7F"/>
                        </w:txbxContent>
                      </v:textbox>
                      <w10:wrap anchorx="margin"/>
                    </v:shape>
                  </w:pict>
                </mc:Fallback>
              </mc:AlternateContent>
            </w:r>
          </w:p>
        </w:tc>
      </w:tr>
    </w:tbl>
    <w:p w:rsidR="00B076DB" w:rsidRPr="00EA76EA" w:rsidP="00A66941">
      <w:pPr>
        <w:ind w:right="419"/>
        <w:rPr>
          <w:bCs/>
          <w:sz w:val="36"/>
          <w:szCs w:val="36"/>
          <w:lang w:val="en-AU"/>
        </w:rPr>
      </w:pPr>
      <w:r w:rsidRPr="00EA76EA">
        <w:rPr>
          <w:bCs/>
          <w:noProof/>
          <w:sz w:val="36"/>
          <w:szCs w:val="36"/>
          <w:lang w:val="en-AU"/>
        </w:rPr>
        <w:t>School</w:t>
      </w:r>
      <w:r w:rsidRPr="00EA76EA" w:rsidR="00BE480F">
        <w:rPr>
          <w:bCs/>
          <w:noProof/>
          <w:sz w:val="36"/>
          <w:szCs w:val="36"/>
          <w:lang w:val="en-AU"/>
        </w:rPr>
        <w:t xml:space="preserve"> </w:t>
      </w:r>
      <w:r w:rsidRPr="00EA76EA">
        <w:rPr>
          <w:bCs/>
          <w:noProof/>
          <w:sz w:val="36"/>
          <w:szCs w:val="36"/>
          <w:lang w:val="en-AU"/>
        </w:rPr>
        <w:t xml:space="preserve">Name: </w:t>
      </w:r>
      <w:r w:rsidRPr="00EA76EA" w:rsidR="00F72887">
        <w:rPr>
          <w:bCs/>
          <w:noProof/>
          <w:sz w:val="36"/>
          <w:szCs w:val="36"/>
          <w:lang w:val="en-AU"/>
        </w:rPr>
        <w:t>Fountain Gate Secondary College (8870)</w:t>
      </w:r>
    </w:p>
    <w:p w:rsidR="00B25523" w:rsidRPr="00EA76EA" w:rsidP="00A66941">
      <w:pPr>
        <w:ind w:right="419"/>
        <w:rPr>
          <w:color w:val="FFFFFF" w:themeColor="background1"/>
          <w:sz w:val="36"/>
          <w:szCs w:val="36"/>
          <w:lang w:val="en-AU"/>
        </w:rPr>
      </w:pPr>
    </w:p>
    <w:p w:rsidR="00BE480F" w:rsidRPr="00EA76EA" w:rsidP="00AF1438">
      <w:pPr>
        <w:ind w:left="540" w:right="419"/>
        <w:rPr>
          <w:color w:val="595959" w:themeColor="text1" w:themeTint="A6"/>
          <w:lang w:val="en-AU"/>
        </w:rPr>
      </w:pPr>
    </w:p>
    <w:p w:rsidR="00481904" w:rsidRPr="00EA76EA" w:rsidP="00BF76C7">
      <w:pPr>
        <w:pStyle w:val="ESHeading2"/>
        <w:jc w:val="center"/>
        <w:rPr>
          <w:lang w:val="en-AU"/>
        </w:rPr>
        <w:sectPr w:rsidSect="0095453E">
          <w:headerReference w:type="even" r:id="rId10"/>
          <w:headerReference w:type="default" r:id="rId11"/>
          <w:footerReference w:type="even" r:id="rId12"/>
          <w:footerReference w:type="default" r:id="rId13"/>
          <w:headerReference w:type="first" r:id="rId14"/>
          <w:pgSz w:w="11906" w:h="16838" w:code="9"/>
          <w:pgMar w:top="2914" w:right="1134" w:bottom="1701" w:left="425" w:header="227" w:footer="709" w:gutter="0"/>
          <w:cols w:space="397"/>
          <w:docGrid w:linePitch="360"/>
        </w:sectPr>
      </w:pPr>
    </w:p>
    <w:p w:rsidR="005568AC" w:rsidP="0050417D">
      <w:pPr>
        <w:pStyle w:val="ESHeading10"/>
        <w:spacing w:after="0" w:line="240" w:lineRule="auto"/>
      </w:pPr>
      <w:r>
        <w:t>How to read the Annual Report</w:t>
      </w:r>
    </w:p>
    <w:p w:rsidR="004D2A34" w:rsidRPr="006825C7" w:rsidP="004D2A34">
      <w:pPr>
        <w:pStyle w:val="Style10"/>
        <w:spacing w:before="0" w:after="120"/>
      </w:pPr>
      <w:r w:rsidRPr="006825C7">
        <w:t xml:space="preserve">What does the </w:t>
      </w:r>
      <w:r>
        <w:rPr>
          <w:i/>
          <w:iCs/>
        </w:rPr>
        <w:t>‘A</w:t>
      </w:r>
      <w:r w:rsidRPr="00620299">
        <w:rPr>
          <w:i/>
          <w:iCs/>
        </w:rPr>
        <w:t>bout Our School</w:t>
      </w:r>
      <w:r>
        <w:rPr>
          <w:i/>
          <w:iCs/>
        </w:rPr>
        <w:t>’</w:t>
      </w:r>
      <w:r w:rsidRPr="006825C7">
        <w:t xml:space="preserve"> </w:t>
      </w:r>
      <w:r w:rsidR="00C37A6F">
        <w:t xml:space="preserve">commentary </w:t>
      </w:r>
      <w:r w:rsidRPr="006825C7">
        <w:t xml:space="preserve">section </w:t>
      </w:r>
      <w:r w:rsidR="00C37A6F">
        <w:t xml:space="preserve">of this report </w:t>
      </w:r>
      <w:r w:rsidRPr="00B637FF">
        <w:t>refer</w:t>
      </w:r>
      <w:r w:rsidRPr="006825C7">
        <w:t xml:space="preserve"> to?</w:t>
      </w:r>
    </w:p>
    <w:p w:rsidR="009674DF" w:rsidRPr="007B3E14" w:rsidP="009674DF">
      <w:pPr>
        <w:pStyle w:val="ESBodyText0"/>
        <w:spacing w:line="240" w:lineRule="auto"/>
        <w:rPr>
          <w:lang w:val="en-AU"/>
        </w:rPr>
      </w:pPr>
      <w:r w:rsidRPr="007B3E14">
        <w:rPr>
          <w:lang w:val="en-AU"/>
        </w:rPr>
        <w:t>The ‘About our school’ commentary provides a brief background on the school</w:t>
      </w:r>
      <w:r>
        <w:rPr>
          <w:lang w:val="en-AU"/>
        </w:rPr>
        <w:t xml:space="preserve"> and</w:t>
      </w:r>
      <w:r w:rsidRPr="007B3E14">
        <w:rPr>
          <w:lang w:val="en-AU"/>
        </w:rPr>
        <w:t xml:space="preserve"> an </w:t>
      </w:r>
      <w:r>
        <w:rPr>
          <w:lang w:val="en-AU"/>
        </w:rPr>
        <w:t>overview</w:t>
      </w:r>
      <w:r w:rsidRPr="007B3E14">
        <w:rPr>
          <w:lang w:val="en-AU"/>
        </w:rPr>
        <w:t xml:space="preserve"> of the school’s performance over the </w:t>
      </w:r>
      <w:r>
        <w:rPr>
          <w:lang w:val="en-AU"/>
        </w:rPr>
        <w:t xml:space="preserve">previous calendar </w:t>
      </w:r>
      <w:r w:rsidRPr="007B3E14">
        <w:rPr>
          <w:lang w:val="en-AU"/>
        </w:rPr>
        <w:t>year</w:t>
      </w:r>
      <w:r>
        <w:rPr>
          <w:lang w:val="en-AU"/>
        </w:rPr>
        <w:t>.</w:t>
      </w:r>
      <w:r w:rsidRPr="007B3E14">
        <w:rPr>
          <w:lang w:val="en-AU"/>
        </w:rPr>
        <w:t xml:space="preserve"> </w:t>
      </w:r>
    </w:p>
    <w:p w:rsidR="009674DF" w:rsidRPr="007B3E14" w:rsidP="009674DF">
      <w:pPr>
        <w:pStyle w:val="ESBodyText0"/>
        <w:spacing w:line="240" w:lineRule="auto"/>
        <w:rPr>
          <w:lang w:val="en-AU"/>
        </w:rPr>
      </w:pPr>
      <w:r w:rsidRPr="007B3E14">
        <w:rPr>
          <w:lang w:val="en-AU"/>
        </w:rPr>
        <w:t>The ‘School Context’ describes the school’s vision, values</w:t>
      </w:r>
      <w:r>
        <w:rPr>
          <w:lang w:val="en-AU"/>
        </w:rPr>
        <w:t xml:space="preserve">, </w:t>
      </w:r>
      <w:r w:rsidRPr="007B3E14">
        <w:rPr>
          <w:lang w:val="en-AU"/>
        </w:rPr>
        <w:t>and purpose. Details include the school’s geographic location, size and structure, social characteristics, enrolment characteristics</w:t>
      </w:r>
      <w:r>
        <w:rPr>
          <w:lang w:val="en-AU"/>
        </w:rPr>
        <w:t>,</w:t>
      </w:r>
      <w:r w:rsidRPr="007B3E14">
        <w:rPr>
          <w:lang w:val="en-AU"/>
        </w:rPr>
        <w:t xml:space="preserve"> and special programs.</w:t>
      </w:r>
    </w:p>
    <w:p w:rsidR="009674DF" w:rsidP="009674DF">
      <w:pPr>
        <w:pStyle w:val="ESBodyText0"/>
        <w:spacing w:after="200" w:line="240" w:lineRule="auto"/>
      </w:pPr>
      <w:r w:rsidRPr="007B3E14">
        <w:t xml:space="preserve">The ‘Progress towards strategic goals, student outcomes, and student engagement’ section </w:t>
      </w:r>
      <w:r w:rsidRPr="007B3E14">
        <w:rPr>
          <w:rFonts w:eastAsia="Times New Roman"/>
        </w:rPr>
        <w:t xml:space="preserve">allows schools to reflect on highlights related to implementation of and progress towards </w:t>
      </w:r>
      <w:r w:rsidRPr="00DC58BB">
        <w:rPr>
          <w:rFonts w:eastAsia="Times New Roman"/>
        </w:rPr>
        <w:t xml:space="preserve">the </w:t>
      </w:r>
      <w:r>
        <w:rPr>
          <w:rFonts w:eastAsia="Times New Roman"/>
        </w:rPr>
        <w:t xml:space="preserve">School Strategic Plan and Annual Implementation Plan, </w:t>
      </w:r>
      <w:r w:rsidRPr="00DC58BB">
        <w:rPr>
          <w:rFonts w:eastAsia="Times New Roman"/>
        </w:rPr>
        <w:t>and efforts to improve student learning, wellbeing</w:t>
      </w:r>
      <w:r>
        <w:rPr>
          <w:rFonts w:eastAsia="Times New Roman"/>
        </w:rPr>
        <w:t>,</w:t>
      </w:r>
      <w:r w:rsidRPr="00DC58BB">
        <w:rPr>
          <w:rFonts w:eastAsia="Times New Roman"/>
        </w:rPr>
        <w:t xml:space="preserve"> and engagement.</w:t>
      </w:r>
    </w:p>
    <w:p w:rsidR="005568AC" w:rsidRPr="00620299" w:rsidP="0050417D">
      <w:pPr>
        <w:pStyle w:val="Style10"/>
        <w:spacing w:before="0" w:after="120"/>
        <w:rPr>
          <w:i/>
        </w:rPr>
      </w:pPr>
      <w:r>
        <w:t xml:space="preserve">What does the </w:t>
      </w:r>
      <w:r w:rsidR="00620299">
        <w:rPr>
          <w:i/>
        </w:rPr>
        <w:t>‘P</w:t>
      </w:r>
      <w:r w:rsidRPr="007567CF">
        <w:rPr>
          <w:i/>
        </w:rPr>
        <w:t>erformance Summary</w:t>
      </w:r>
      <w:r w:rsidR="00620299">
        <w:rPr>
          <w:i/>
        </w:rPr>
        <w:t>’</w:t>
      </w:r>
      <w:r>
        <w:t xml:space="preserve"> section of this report refer to?</w:t>
      </w:r>
    </w:p>
    <w:p w:rsidR="005568AC" w:rsidP="0050417D">
      <w:pPr>
        <w:spacing w:line="240" w:lineRule="auto"/>
        <w:rPr>
          <w:rFonts w:eastAsia="Arial" w:cs="Times New Roman"/>
          <w:color w:val="000000"/>
          <w:szCs w:val="20"/>
        </w:rPr>
      </w:pPr>
      <w:r>
        <w:rPr>
          <w:rFonts w:eastAsia="Arial" w:cs="Times New Roman"/>
          <w:color w:val="000000"/>
          <w:szCs w:val="20"/>
        </w:rPr>
        <w:t xml:space="preserve">The </w:t>
      </w:r>
      <w:r w:rsidRPr="00046522">
        <w:rPr>
          <w:rFonts w:eastAsia="Arial" w:cs="Times New Roman"/>
          <w:color w:val="000000"/>
          <w:szCs w:val="20"/>
        </w:rPr>
        <w:t>Performance Summary includes</w:t>
      </w:r>
      <w:r>
        <w:rPr>
          <w:rFonts w:eastAsia="Arial" w:cs="Times New Roman"/>
          <w:color w:val="000000"/>
          <w:szCs w:val="20"/>
        </w:rPr>
        <w:t xml:space="preserve"> </w:t>
      </w:r>
      <w:r w:rsidR="0069610B">
        <w:rPr>
          <w:rFonts w:eastAsia="Arial" w:cs="Times New Roman"/>
          <w:color w:val="000000"/>
          <w:szCs w:val="20"/>
        </w:rPr>
        <w:t>the following</w:t>
      </w:r>
      <w:r>
        <w:rPr>
          <w:rFonts w:eastAsia="Arial" w:cs="Times New Roman"/>
          <w:color w:val="000000"/>
          <w:szCs w:val="20"/>
        </w:rPr>
        <w:t>:</w:t>
      </w:r>
    </w:p>
    <w:p w:rsidR="00A14E75" w:rsidP="0050417D">
      <w:pPr>
        <w:spacing w:line="240" w:lineRule="auto"/>
        <w:ind w:left="720"/>
        <w:rPr>
          <w:rFonts w:eastAsia="Arial" w:cs="Times New Roman"/>
          <w:b/>
          <w:color w:val="000000"/>
          <w:szCs w:val="20"/>
        </w:rPr>
      </w:pPr>
      <w:r>
        <w:rPr>
          <w:rFonts w:eastAsia="Arial" w:cs="Times New Roman"/>
          <w:b/>
          <w:color w:val="000000"/>
          <w:szCs w:val="20"/>
        </w:rPr>
        <w:t>School Profile</w:t>
      </w:r>
    </w:p>
    <w:p w:rsidR="004B0401" w:rsidP="00046522">
      <w:pPr>
        <w:numPr>
          <w:ilvl w:val="0"/>
          <w:numId w:val="31"/>
        </w:numPr>
        <w:spacing w:after="100" w:line="240" w:lineRule="auto"/>
        <w:ind w:left="1434" w:hanging="357"/>
        <w:rPr>
          <w:rFonts w:eastAsia="Arial" w:cs="Times New Roman"/>
          <w:bCs/>
          <w:color w:val="000000"/>
          <w:szCs w:val="20"/>
        </w:rPr>
      </w:pPr>
      <w:r>
        <w:rPr>
          <w:rFonts w:eastAsia="Arial" w:cs="Times New Roman"/>
          <w:bCs/>
          <w:color w:val="000000"/>
          <w:szCs w:val="20"/>
        </w:rPr>
        <w:t>student</w:t>
      </w:r>
      <w:r w:rsidRPr="00A14E75" w:rsidR="00A14E75">
        <w:rPr>
          <w:rFonts w:eastAsia="Arial" w:cs="Times New Roman"/>
          <w:bCs/>
          <w:color w:val="000000"/>
          <w:szCs w:val="20"/>
        </w:rPr>
        <w:t xml:space="preserve"> enrolment</w:t>
      </w:r>
      <w:r>
        <w:rPr>
          <w:rFonts w:eastAsia="Arial" w:cs="Times New Roman"/>
          <w:bCs/>
          <w:color w:val="000000"/>
          <w:szCs w:val="20"/>
        </w:rPr>
        <w:t xml:space="preserve"> information</w:t>
      </w:r>
    </w:p>
    <w:p w:rsidR="00A14E75" w:rsidRPr="00A14E75" w:rsidP="00046522">
      <w:pPr>
        <w:numPr>
          <w:ilvl w:val="0"/>
          <w:numId w:val="31"/>
        </w:numPr>
        <w:spacing w:after="100" w:line="240" w:lineRule="auto"/>
        <w:ind w:left="1434" w:hanging="357"/>
        <w:rPr>
          <w:rFonts w:eastAsia="Arial" w:cs="Times New Roman"/>
          <w:bCs/>
          <w:color w:val="000000"/>
          <w:szCs w:val="20"/>
        </w:rPr>
      </w:pPr>
      <w:r>
        <w:rPr>
          <w:rFonts w:eastAsia="Arial" w:cs="Times New Roman"/>
          <w:bCs/>
          <w:color w:val="000000"/>
          <w:szCs w:val="20"/>
        </w:rPr>
        <w:t>the school’s ‘</w:t>
      </w:r>
      <w:r>
        <w:rPr>
          <w:rFonts w:eastAsia="Arial" w:cs="Times New Roman"/>
          <w:bCs/>
          <w:color w:val="000000"/>
          <w:szCs w:val="20"/>
        </w:rPr>
        <w:t>S</w:t>
      </w:r>
      <w:r w:rsidRPr="00A14E75">
        <w:rPr>
          <w:rFonts w:eastAsia="Arial" w:cs="Times New Roman"/>
          <w:bCs/>
          <w:color w:val="000000"/>
          <w:szCs w:val="20"/>
        </w:rPr>
        <w:t>tudent Family Occupation and Education</w:t>
      </w:r>
      <w:r>
        <w:rPr>
          <w:rFonts w:eastAsia="Arial" w:cs="Times New Roman"/>
          <w:bCs/>
          <w:color w:val="000000"/>
          <w:szCs w:val="20"/>
        </w:rPr>
        <w:t>’</w:t>
      </w:r>
      <w:r w:rsidRPr="00A14E75">
        <w:rPr>
          <w:rFonts w:eastAsia="Arial" w:cs="Times New Roman"/>
          <w:bCs/>
          <w:color w:val="000000"/>
          <w:szCs w:val="20"/>
        </w:rPr>
        <w:t xml:space="preserve"> category</w:t>
      </w:r>
    </w:p>
    <w:p w:rsidR="00A14E75" w:rsidRPr="00A14E75" w:rsidP="00046522">
      <w:pPr>
        <w:numPr>
          <w:ilvl w:val="0"/>
          <w:numId w:val="31"/>
        </w:numPr>
        <w:spacing w:after="100" w:line="240" w:lineRule="auto"/>
        <w:ind w:left="1434" w:hanging="357"/>
        <w:rPr>
          <w:rFonts w:eastAsia="Arial" w:cs="Times New Roman"/>
          <w:bCs/>
          <w:color w:val="000000"/>
          <w:szCs w:val="20"/>
        </w:rPr>
      </w:pPr>
      <w:r>
        <w:rPr>
          <w:rFonts w:eastAsia="Arial" w:cs="Times New Roman"/>
          <w:bCs/>
          <w:color w:val="000000"/>
          <w:szCs w:val="20"/>
        </w:rPr>
        <w:t>a</w:t>
      </w:r>
      <w:r>
        <w:rPr>
          <w:rFonts w:eastAsia="Arial" w:cs="Times New Roman"/>
          <w:bCs/>
          <w:color w:val="000000"/>
          <w:szCs w:val="20"/>
        </w:rPr>
        <w:t xml:space="preserve"> </w:t>
      </w:r>
      <w:r w:rsidRPr="00A14E75">
        <w:rPr>
          <w:rFonts w:eastAsia="Arial" w:cs="Times New Roman"/>
          <w:color w:val="000000"/>
          <w:szCs w:val="20"/>
        </w:rPr>
        <w:t>summary</w:t>
      </w:r>
      <w:r>
        <w:rPr>
          <w:rFonts w:eastAsia="Arial" w:cs="Times New Roman"/>
          <w:bCs/>
          <w:color w:val="000000"/>
          <w:szCs w:val="20"/>
        </w:rPr>
        <w:t xml:space="preserve"> of p</w:t>
      </w:r>
      <w:r w:rsidRPr="00A14E75">
        <w:rPr>
          <w:rFonts w:eastAsia="Arial" w:cs="Times New Roman"/>
          <w:bCs/>
          <w:color w:val="000000"/>
          <w:szCs w:val="20"/>
        </w:rPr>
        <w:t xml:space="preserve">arent </w:t>
      </w:r>
      <w:r>
        <w:rPr>
          <w:rFonts w:eastAsia="Arial" w:cs="Times New Roman"/>
          <w:bCs/>
          <w:color w:val="000000"/>
          <w:szCs w:val="20"/>
        </w:rPr>
        <w:t xml:space="preserve">responses in the Parent Opinion Survey, shown against the statewide average </w:t>
      </w:r>
      <w:r w:rsidR="00874585">
        <w:rPr>
          <w:rFonts w:eastAsia="Arial" w:cs="Times New Roman"/>
          <w:bCs/>
          <w:color w:val="000000"/>
          <w:szCs w:val="20"/>
        </w:rPr>
        <w:t>for Secondary schools</w:t>
      </w:r>
    </w:p>
    <w:p w:rsidR="00A14E75" w:rsidP="00A14E75">
      <w:pPr>
        <w:pStyle w:val="ListParagraph"/>
        <w:numPr>
          <w:ilvl w:val="0"/>
          <w:numId w:val="32"/>
        </w:numPr>
        <w:spacing w:line="240" w:lineRule="auto"/>
        <w:rPr>
          <w:rFonts w:eastAsia="Arial" w:cs="Times New Roman"/>
          <w:b/>
          <w:color w:val="000000"/>
          <w:szCs w:val="20"/>
        </w:rPr>
      </w:pPr>
      <w:r>
        <w:rPr>
          <w:rFonts w:eastAsia="Arial" w:cs="Times New Roman"/>
          <w:bCs/>
          <w:color w:val="000000"/>
          <w:szCs w:val="20"/>
        </w:rPr>
        <w:t>school s</w:t>
      </w:r>
      <w:r w:rsidRPr="00A14E75">
        <w:rPr>
          <w:rFonts w:eastAsia="Arial" w:cs="Times New Roman"/>
          <w:bCs/>
          <w:color w:val="000000"/>
          <w:szCs w:val="20"/>
        </w:rPr>
        <w:t>taff responses in the area of School Climate in the School Staff Survey</w:t>
      </w:r>
      <w:r>
        <w:rPr>
          <w:rFonts w:eastAsia="Arial" w:cs="Times New Roman"/>
          <w:bCs/>
          <w:color w:val="000000"/>
          <w:szCs w:val="20"/>
        </w:rPr>
        <w:t>, shown against the statewide average</w:t>
      </w:r>
      <w:r w:rsidR="00874585">
        <w:rPr>
          <w:rFonts w:eastAsia="Arial" w:cs="Times New Roman"/>
          <w:bCs/>
          <w:color w:val="000000"/>
          <w:szCs w:val="20"/>
        </w:rPr>
        <w:t xml:space="preserve"> for Secondary </w:t>
      </w:r>
      <w:r w:rsidR="00874585">
        <w:rPr>
          <w:rFonts w:eastAsia="Arial" w:cs="Times New Roman"/>
          <w:bCs/>
          <w:color w:val="000000"/>
          <w:szCs w:val="20"/>
        </w:rPr>
        <w:t>schools</w:t>
      </w:r>
    </w:p>
    <w:p w:rsidR="005568AC" w:rsidP="0050417D">
      <w:pPr>
        <w:spacing w:line="240" w:lineRule="auto"/>
        <w:ind w:left="720"/>
        <w:rPr>
          <w:rFonts w:eastAsia="Arial" w:cs="Times New Roman"/>
          <w:b/>
          <w:color w:val="000000"/>
          <w:szCs w:val="20"/>
        </w:rPr>
      </w:pPr>
      <w:r>
        <w:rPr>
          <w:rFonts w:eastAsia="Arial" w:cs="Times New Roman"/>
          <w:b/>
          <w:color w:val="000000"/>
          <w:szCs w:val="20"/>
        </w:rPr>
        <w:t>Learning</w:t>
      </w:r>
    </w:p>
    <w:p w:rsidR="005568AC" w:rsidP="00046522">
      <w:pPr>
        <w:numPr>
          <w:ilvl w:val="0"/>
          <w:numId w:val="31"/>
        </w:numPr>
        <w:spacing w:after="100" w:line="240" w:lineRule="auto"/>
        <w:ind w:left="1434" w:hanging="357"/>
        <w:rPr>
          <w:rFonts w:eastAsia="Arial" w:cs="Times New Roman"/>
          <w:color w:val="000000"/>
          <w:szCs w:val="20"/>
        </w:rPr>
      </w:pPr>
      <w:r>
        <w:rPr>
          <w:rFonts w:eastAsia="Arial" w:cs="Times New Roman"/>
          <w:color w:val="000000"/>
          <w:szCs w:val="20"/>
        </w:rPr>
        <w:t>English and Mathematics for Teacher Judgements against the curriculum</w:t>
      </w:r>
    </w:p>
    <w:p w:rsidR="004D2A34" w:rsidP="00046522">
      <w:pPr>
        <w:numPr>
          <w:ilvl w:val="0"/>
          <w:numId w:val="31"/>
        </w:numPr>
        <w:spacing w:after="100" w:line="240" w:lineRule="auto"/>
        <w:ind w:left="1434" w:hanging="357"/>
        <w:rPr>
          <w:rFonts w:eastAsia="Arial" w:cs="Times New Roman"/>
          <w:color w:val="000000"/>
          <w:szCs w:val="20"/>
        </w:rPr>
      </w:pPr>
      <w:r w:rsidRPr="004D2A34">
        <w:rPr>
          <w:rFonts w:eastAsia="Arial" w:cs="Times New Roman"/>
          <w:color w:val="000000"/>
          <w:szCs w:val="20"/>
        </w:rPr>
        <w:t>English and Mathematics for National Literacy and Numeracy tests (NAPLAN)</w:t>
      </w:r>
    </w:p>
    <w:p w:rsidR="002A33F2" w:rsidRPr="002A33F2" w:rsidP="002A33F2">
      <w:pPr>
        <w:numPr>
          <w:ilvl w:val="0"/>
          <w:numId w:val="31"/>
        </w:numPr>
        <w:spacing w:line="240" w:lineRule="auto"/>
        <w:ind w:left="1440"/>
        <w:rPr>
          <w:rFonts w:eastAsia="Arial" w:cs="Times New Roman"/>
          <w:color w:val="000000"/>
          <w:szCs w:val="20"/>
        </w:rPr>
      </w:pPr>
      <w:r w:rsidRPr="002A33F2">
        <w:rPr>
          <w:rFonts w:eastAsia="Arial" w:cs="Times New Roman"/>
          <w:color w:val="000000"/>
          <w:szCs w:val="20"/>
        </w:rPr>
        <w:t>Senior Secondary completions and mean study score</w:t>
      </w:r>
    </w:p>
    <w:p w:rsidR="007F1B5B" w:rsidP="007F1B5B">
      <w:pPr>
        <w:spacing w:line="240" w:lineRule="auto"/>
        <w:ind w:left="720"/>
        <w:rPr>
          <w:rFonts w:eastAsia="Arial" w:cs="Times New Roman"/>
          <w:b/>
          <w:color w:val="000000"/>
          <w:szCs w:val="20"/>
        </w:rPr>
      </w:pPr>
      <w:r>
        <w:rPr>
          <w:rFonts w:eastAsia="Arial" w:cs="Times New Roman"/>
          <w:b/>
          <w:color w:val="000000"/>
          <w:szCs w:val="20"/>
        </w:rPr>
        <w:t>Wellbeing</w:t>
      </w:r>
    </w:p>
    <w:p w:rsidR="007F1B5B" w:rsidP="007F1B5B">
      <w:pPr>
        <w:spacing w:line="240" w:lineRule="auto"/>
        <w:ind w:left="720"/>
        <w:rPr>
          <w:rFonts w:eastAsia="Arial" w:cs="Times New Roman"/>
          <w:color w:val="000000"/>
          <w:szCs w:val="20"/>
        </w:rPr>
      </w:pPr>
      <w:r>
        <w:rPr>
          <w:rFonts w:eastAsia="Arial" w:cs="Times New Roman"/>
          <w:color w:val="000000"/>
          <w:szCs w:val="20"/>
        </w:rPr>
        <w:t>Student responses to two areas in the Student Attitudes to School Survey:</w:t>
      </w:r>
    </w:p>
    <w:p w:rsidR="007F1B5B" w:rsidP="007F1B5B">
      <w:pPr>
        <w:numPr>
          <w:ilvl w:val="0"/>
          <w:numId w:val="31"/>
        </w:numPr>
        <w:spacing w:after="100" w:line="240" w:lineRule="auto"/>
        <w:ind w:left="1434" w:hanging="357"/>
        <w:rPr>
          <w:rFonts w:eastAsia="Arial" w:cs="Times New Roman"/>
          <w:color w:val="000000"/>
          <w:szCs w:val="20"/>
        </w:rPr>
      </w:pPr>
      <w:r>
        <w:rPr>
          <w:rFonts w:eastAsia="Arial" w:cs="Times New Roman"/>
          <w:color w:val="000000"/>
          <w:szCs w:val="20"/>
        </w:rPr>
        <w:t>Sense of Connectedness</w:t>
      </w:r>
    </w:p>
    <w:p w:rsidR="007F1B5B" w:rsidRPr="007F1B5B" w:rsidP="007F1B5B">
      <w:pPr>
        <w:numPr>
          <w:ilvl w:val="0"/>
          <w:numId w:val="31"/>
        </w:numPr>
        <w:spacing w:line="240" w:lineRule="auto"/>
        <w:ind w:left="1440"/>
        <w:rPr>
          <w:rFonts w:eastAsia="Arial" w:cs="Times New Roman"/>
          <w:color w:val="000000"/>
          <w:szCs w:val="20"/>
        </w:rPr>
      </w:pPr>
      <w:r>
        <w:rPr>
          <w:rFonts w:eastAsia="Arial" w:cs="Times New Roman"/>
          <w:color w:val="000000"/>
          <w:szCs w:val="20"/>
        </w:rPr>
        <w:t>Management of Bullying</w:t>
      </w:r>
    </w:p>
    <w:p w:rsidR="005568AC" w:rsidP="0050417D">
      <w:pPr>
        <w:spacing w:line="240" w:lineRule="auto"/>
        <w:ind w:left="720"/>
        <w:rPr>
          <w:rFonts w:eastAsia="Arial" w:cs="Times New Roman"/>
          <w:b/>
          <w:color w:val="000000"/>
          <w:szCs w:val="20"/>
        </w:rPr>
      </w:pPr>
      <w:r>
        <w:rPr>
          <w:rFonts w:eastAsia="Arial" w:cs="Times New Roman"/>
          <w:b/>
          <w:color w:val="000000"/>
          <w:szCs w:val="20"/>
        </w:rPr>
        <w:t xml:space="preserve">Engagement </w:t>
      </w:r>
    </w:p>
    <w:p w:rsidR="005568AC" w:rsidP="0050417D">
      <w:pPr>
        <w:spacing w:line="240" w:lineRule="auto"/>
        <w:ind w:left="720"/>
        <w:rPr>
          <w:rFonts w:eastAsia="Arial" w:cs="Times New Roman"/>
          <w:color w:val="000000"/>
          <w:szCs w:val="20"/>
        </w:rPr>
      </w:pPr>
      <w:r>
        <w:rPr>
          <w:rFonts w:eastAsia="Arial" w:cs="Times New Roman"/>
          <w:color w:val="000000"/>
          <w:szCs w:val="20"/>
        </w:rPr>
        <w:t>S</w:t>
      </w:r>
      <w:r>
        <w:rPr>
          <w:rFonts w:eastAsia="Arial" w:cs="Times New Roman"/>
          <w:color w:val="000000"/>
          <w:szCs w:val="20"/>
        </w:rPr>
        <w:t>tudent attendance and engagement at school, including:</w:t>
      </w:r>
    </w:p>
    <w:p w:rsidR="005568AC" w:rsidP="00046522">
      <w:pPr>
        <w:numPr>
          <w:ilvl w:val="0"/>
          <w:numId w:val="31"/>
        </w:numPr>
        <w:spacing w:after="100" w:line="240" w:lineRule="auto"/>
        <w:ind w:left="1434" w:hanging="357"/>
        <w:rPr>
          <w:rFonts w:eastAsia="Arial" w:cs="Times New Roman"/>
          <w:color w:val="000000"/>
          <w:szCs w:val="20"/>
        </w:rPr>
      </w:pPr>
      <w:r>
        <w:rPr>
          <w:rFonts w:eastAsia="Arial" w:cs="Times New Roman"/>
          <w:color w:val="000000"/>
          <w:szCs w:val="20"/>
        </w:rPr>
        <w:t xml:space="preserve">how many </w:t>
      </w:r>
      <w:r>
        <w:rPr>
          <w:rFonts w:eastAsia="Arial" w:cs="Times New Roman"/>
          <w:color w:val="000000"/>
          <w:szCs w:val="20"/>
        </w:rPr>
        <w:t>Year</w:t>
      </w:r>
      <w:r>
        <w:rPr>
          <w:rFonts w:eastAsia="Arial" w:cs="Times New Roman"/>
          <w:color w:val="000000"/>
          <w:szCs w:val="20"/>
        </w:rPr>
        <w:t xml:space="preserve"> 7 students remain at the school through to Year 10</w:t>
      </w:r>
    </w:p>
    <w:p w:rsidR="00B010EC" w:rsidP="0050417D">
      <w:pPr>
        <w:numPr>
          <w:ilvl w:val="0"/>
          <w:numId w:val="31"/>
        </w:numPr>
        <w:spacing w:line="240" w:lineRule="auto"/>
        <w:ind w:left="1440"/>
        <w:rPr>
          <w:rFonts w:eastAsia="Arial" w:cs="Times New Roman"/>
          <w:color w:val="000000"/>
          <w:szCs w:val="20"/>
        </w:rPr>
      </w:pPr>
      <w:r>
        <w:rPr>
          <w:rFonts w:eastAsia="Arial" w:cs="Times New Roman"/>
          <w:color w:val="000000"/>
          <w:szCs w:val="20"/>
        </w:rPr>
        <w:t xml:space="preserve">how many exiting students go on to further studies or full-time </w:t>
      </w:r>
      <w:r>
        <w:rPr>
          <w:rFonts w:eastAsia="Arial" w:cs="Times New Roman"/>
          <w:color w:val="000000"/>
          <w:szCs w:val="20"/>
        </w:rPr>
        <w:t>work</w:t>
      </w:r>
    </w:p>
    <w:p w:rsidR="009674DF" w:rsidP="0050417D">
      <w:pPr>
        <w:numPr>
          <w:ilvl w:val="0"/>
          <w:numId w:val="31"/>
        </w:numPr>
        <w:spacing w:line="240" w:lineRule="auto"/>
        <w:ind w:left="1440"/>
        <w:rPr>
          <w:rFonts w:eastAsia="Arial" w:cs="Times New Roman"/>
          <w:color w:val="000000"/>
          <w:szCs w:val="20"/>
        </w:rPr>
      </w:pPr>
      <w:r>
        <w:rPr>
          <w:rFonts w:eastAsia="Arial" w:cs="Times New Roman"/>
          <w:color w:val="000000"/>
          <w:szCs w:val="20"/>
        </w:rPr>
        <w:t>Student attendance at school</w:t>
      </w:r>
    </w:p>
    <w:p w:rsidR="00922D56" w:rsidRPr="002A33F2" w:rsidP="00922D56">
      <w:pPr>
        <w:pStyle w:val="ESBodyText0"/>
        <w:spacing w:before="120" w:after="200" w:line="240" w:lineRule="auto"/>
      </w:pPr>
      <w:r w:rsidRPr="00922D56">
        <w:t xml:space="preserve">Results </w:t>
      </w:r>
      <w:r w:rsidRPr="002A33F2">
        <w:t xml:space="preserve">are displayed for the latest year and the average of the last four years (where available). </w:t>
      </w:r>
    </w:p>
    <w:p w:rsidR="002A33F2" w:rsidRPr="002A33F2" w:rsidP="002A33F2">
      <w:pPr>
        <w:pStyle w:val="ESBodyText0"/>
        <w:spacing w:line="240" w:lineRule="auto"/>
      </w:pPr>
      <w:r w:rsidRPr="002A33F2">
        <w:t xml:space="preserve">Key terms used in the Performance Summary are defined below: </w:t>
      </w:r>
    </w:p>
    <w:p w:rsidR="002A33F2" w:rsidRPr="002A33F2" w:rsidP="002A33F2">
      <w:pPr>
        <w:pStyle w:val="ESBodyText0"/>
        <w:spacing w:line="240" w:lineRule="auto"/>
        <w:rPr>
          <w:b/>
          <w:bCs/>
        </w:rPr>
      </w:pPr>
      <w:r w:rsidRPr="002A33F2">
        <w:rPr>
          <w:b/>
          <w:bCs/>
        </w:rPr>
        <w:t>Similar Schools</w:t>
      </w:r>
    </w:p>
    <w:p w:rsidR="002A33F2" w:rsidRPr="002A33F2" w:rsidP="002A33F2">
      <w:pPr>
        <w:spacing w:line="240" w:lineRule="auto"/>
        <w:rPr>
          <w:rFonts w:eastAsia="Arial"/>
          <w:color w:val="000000"/>
        </w:rPr>
      </w:pPr>
      <w:r w:rsidRPr="002A33F2">
        <w:rPr>
          <w:rFonts w:eastAsia="Arial"/>
          <w:color w:val="000000"/>
        </w:rPr>
        <w:t xml:space="preserve">Similar Schools are a </w:t>
      </w:r>
      <w:r w:rsidRPr="002A33F2">
        <w:rPr>
          <w:rFonts w:eastAsia="Arial" w:cs="Times New Roman"/>
          <w:color w:val="000000"/>
          <w:szCs w:val="20"/>
        </w:rPr>
        <w:t>group</w:t>
      </w:r>
      <w:r w:rsidRPr="002A33F2">
        <w:rPr>
          <w:rFonts w:eastAsia="Arial"/>
          <w:color w:val="000000"/>
        </w:rPr>
        <w:t xml:space="preserve"> of Victorian government schools with similar characteristics to the school.</w:t>
      </w:r>
    </w:p>
    <w:p w:rsidR="002A33F2" w:rsidRPr="002A33F2" w:rsidP="002A33F2">
      <w:pPr>
        <w:pStyle w:val="Body2"/>
        <w:spacing w:after="240" w:line="240" w:lineRule="auto"/>
        <w:rPr>
          <w:rFonts w:eastAsia="Arial"/>
          <w:color w:val="000000"/>
        </w:rPr>
      </w:pPr>
      <w:r w:rsidRPr="002A33F2">
        <w:rPr>
          <w:rFonts w:eastAsia="Arial"/>
          <w:color w:val="000000"/>
        </w:rPr>
        <w:t>This grouping of schools has been created by comparing each school’s socio-economic background of students, the number of non-English speaking students and the school’s size and location.</w:t>
      </w:r>
    </w:p>
    <w:p w:rsidR="002A33F2" w:rsidRPr="002A33F2" w:rsidP="002A33F2">
      <w:pPr>
        <w:pStyle w:val="Body2"/>
        <w:spacing w:after="240" w:line="240" w:lineRule="auto"/>
        <w:rPr>
          <w:rFonts w:eastAsia="Arial"/>
          <w:b/>
          <w:bCs/>
          <w:color w:val="000000"/>
        </w:rPr>
      </w:pPr>
      <w:r w:rsidRPr="002A33F2">
        <w:rPr>
          <w:rFonts w:eastAsia="Arial"/>
          <w:b/>
          <w:bCs/>
          <w:color w:val="000000"/>
        </w:rPr>
        <w:t>NDP and NDA</w:t>
      </w:r>
    </w:p>
    <w:p w:rsidR="002A33F2" w:rsidRPr="002A33F2" w:rsidP="002A33F2">
      <w:pPr>
        <w:spacing w:line="240" w:lineRule="auto"/>
        <w:rPr>
          <w:rFonts w:eastAsia="Arial" w:cs="Times New Roman"/>
          <w:color w:val="000000"/>
          <w:szCs w:val="20"/>
        </w:rPr>
      </w:pPr>
      <w:r w:rsidRPr="002A33F2">
        <w:rPr>
          <w:rFonts w:eastAsia="Arial" w:cs="Times New Roman"/>
          <w:color w:val="000000"/>
          <w:szCs w:val="20"/>
        </w:rPr>
        <w:t>NDP’ refers to no data being published for privacy reasons or where there are insufficient underlying data. For example, very low numbers of participants or characteristics that may lead to identification will result in an ‘NDP’ label.</w:t>
      </w:r>
    </w:p>
    <w:p w:rsidR="002A33F2" w:rsidRPr="002A33F2" w:rsidP="002A33F2">
      <w:pPr>
        <w:spacing w:line="240" w:lineRule="auto"/>
        <w:rPr>
          <w:rFonts w:eastAsia="Arial" w:cs="Times New Roman"/>
          <w:color w:val="000000"/>
          <w:szCs w:val="20"/>
        </w:rPr>
      </w:pPr>
      <w:r w:rsidRPr="002A33F2">
        <w:rPr>
          <w:rFonts w:eastAsia="Arial" w:cs="Times New Roman"/>
          <w:color w:val="000000"/>
          <w:szCs w:val="20"/>
        </w:rPr>
        <w:t xml:space="preserve">‘NDA’ refers to no data being available. Some schools have no data for </w:t>
      </w:r>
      <w:r w:rsidRPr="002A33F2">
        <w:rPr>
          <w:rFonts w:eastAsia="Arial" w:cs="Times New Roman"/>
          <w:color w:val="000000"/>
          <w:szCs w:val="20"/>
        </w:rPr>
        <w:t>particular measures</w:t>
      </w:r>
      <w:r w:rsidRPr="002A33F2">
        <w:rPr>
          <w:rFonts w:eastAsia="Arial" w:cs="Times New Roman"/>
          <w:color w:val="000000"/>
          <w:szCs w:val="20"/>
        </w:rPr>
        <w:t xml:space="preserve"> due to low enrolments. There may be no students enrolled in some year levels, so school comparisons are not possible.</w:t>
      </w:r>
    </w:p>
    <w:p w:rsidR="002A33F2" w:rsidRPr="002A33F2" w:rsidP="002A33F2">
      <w:pPr>
        <w:pStyle w:val="Body2"/>
        <w:spacing w:after="240" w:line="240" w:lineRule="auto"/>
      </w:pPr>
      <w:r w:rsidRPr="002A33F2">
        <w:rPr>
          <w:rFonts w:eastAsia="Arial" w:cs="Times New Roman"/>
          <w:color w:val="000000"/>
          <w:szCs w:val="20"/>
        </w:rPr>
        <w:t>Note that new schools only have the latest year of data and no comparative data from previous years. T</w:t>
      </w:r>
      <w:r w:rsidRPr="002A33F2">
        <w:t xml:space="preserve">he department also </w:t>
      </w:r>
      <w:r w:rsidRPr="002A33F2">
        <w:t>recognises</w:t>
      </w:r>
      <w:r w:rsidRPr="002A33F2">
        <w:t xml:space="preserve"> unique circumstances in Specialist, Select Entry, English Language, Community </w:t>
      </w:r>
      <w:r w:rsidRPr="002A33F2">
        <w:t>Schools</w:t>
      </w:r>
      <w:r w:rsidRPr="002A33F2">
        <w:t xml:space="preserve"> and schools that changed school type recently, where school-to-school comparisons are not appropriate.</w:t>
      </w:r>
    </w:p>
    <w:p w:rsidR="00A7165A">
      <w:pPr>
        <w:spacing w:after="0" w:line="240" w:lineRule="auto"/>
        <w:rPr>
          <w:rFonts w:eastAsia="Arial"/>
          <w:b/>
          <w:bCs/>
          <w:color w:val="000000"/>
        </w:rPr>
      </w:pPr>
      <w:r>
        <w:rPr>
          <w:rFonts w:eastAsia="Arial"/>
          <w:b/>
          <w:bCs/>
          <w:color w:val="000000"/>
        </w:rPr>
        <w:br w:type="page"/>
      </w:r>
    </w:p>
    <w:p w:rsidR="002A33F2" w:rsidRPr="002A33F2" w:rsidP="002A33F2">
      <w:pPr>
        <w:spacing w:line="240" w:lineRule="auto"/>
        <w:rPr>
          <w:rFonts w:eastAsia="Arial"/>
          <w:b/>
          <w:bCs/>
          <w:color w:val="000000"/>
        </w:rPr>
      </w:pPr>
      <w:r w:rsidRPr="002A33F2">
        <w:rPr>
          <w:rFonts w:eastAsia="Arial"/>
          <w:b/>
          <w:bCs/>
          <w:color w:val="000000"/>
        </w:rPr>
        <w:t>The Victorian Curriculum</w:t>
      </w:r>
    </w:p>
    <w:p w:rsidR="002A33F2" w:rsidRPr="002A33F2" w:rsidP="002A33F2">
      <w:pPr>
        <w:spacing w:line="240" w:lineRule="auto"/>
        <w:rPr>
          <w:rFonts w:eastAsia="Arial"/>
          <w:color w:val="000000"/>
        </w:rPr>
      </w:pPr>
      <w:r w:rsidRPr="002A33F2">
        <w:rPr>
          <w:rFonts w:eastAsia="Arial"/>
          <w:color w:val="000000"/>
        </w:rPr>
        <w:t xml:space="preserve">The Victorian Curriculum F–10 sets out what every student should learn during his or her first eleven years of schooling. The curriculum is the common set of knowledge and skills required by students for life-long learning, social </w:t>
      </w:r>
      <w:r w:rsidRPr="002A33F2">
        <w:rPr>
          <w:rFonts w:eastAsia="Arial"/>
          <w:color w:val="000000"/>
        </w:rPr>
        <w:t>development</w:t>
      </w:r>
      <w:r w:rsidRPr="002A33F2">
        <w:rPr>
          <w:rFonts w:eastAsia="Arial"/>
          <w:color w:val="000000"/>
        </w:rPr>
        <w:t xml:space="preserve"> and active and informed citizenship.</w:t>
      </w:r>
    </w:p>
    <w:p w:rsidR="002A33F2" w:rsidRPr="002A33F2" w:rsidP="002A33F2">
      <w:pPr>
        <w:spacing w:line="240" w:lineRule="auto"/>
        <w:rPr>
          <w:rFonts w:eastAsia="Arial"/>
          <w:color w:val="000000"/>
        </w:rPr>
      </w:pPr>
      <w:r w:rsidRPr="002A33F2">
        <w:rPr>
          <w:rFonts w:eastAsia="Arial"/>
          <w:color w:val="000000"/>
        </w:rPr>
        <w:t>The Victorian Curriculum is assessed through teacher judgements of student achievement based on classroom learning.</w:t>
      </w:r>
    </w:p>
    <w:p w:rsidR="002A33F2" w:rsidRPr="002A33F2" w:rsidP="002A33F2">
      <w:pPr>
        <w:spacing w:line="240" w:lineRule="auto"/>
      </w:pPr>
      <w:r w:rsidRPr="002A33F2">
        <w:rPr>
          <w:rFonts w:eastAsia="Arial"/>
          <w:color w:val="000000"/>
        </w:rPr>
        <w:t>The curriculum has been developed to ensure that school subjects and their achievement standards enable continuous learning for all students, including students with disabilities.</w:t>
      </w:r>
    </w:p>
    <w:p w:rsidR="002A33F2" w:rsidRPr="002A33F2" w:rsidP="002A33F2">
      <w:pPr>
        <w:spacing w:line="240" w:lineRule="auto"/>
        <w:rPr>
          <w:rFonts w:eastAsia="Arial"/>
          <w:color w:val="000000"/>
        </w:rPr>
      </w:pPr>
      <w:r w:rsidRPr="002A33F2">
        <w:rPr>
          <w:rFonts w:eastAsia="Arial"/>
          <w:color w:val="000000"/>
        </w:rPr>
        <w:t>The ‘Towards Foundation Level Victorian Curriculum’ is integrated directly into the curriculum and is referred to as ‘Levels A to D’.</w:t>
      </w:r>
    </w:p>
    <w:p w:rsidR="002A33F2" w:rsidRPr="002A33F2" w:rsidP="002A33F2">
      <w:pPr>
        <w:spacing w:line="240" w:lineRule="auto"/>
        <w:rPr>
          <w:rFonts w:eastAsia="Arial"/>
          <w:color w:val="000000"/>
        </w:rPr>
      </w:pPr>
      <w:r w:rsidRPr="002A33F2">
        <w:rPr>
          <w:rFonts w:eastAsia="Arial"/>
          <w:color w:val="000000"/>
        </w:rPr>
        <w:t>‘Levels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rsidR="002A33F2" w:rsidRPr="002A33F2" w:rsidP="002A33F2">
      <w:pPr>
        <w:pStyle w:val="Style10"/>
        <w:spacing w:before="0" w:after="120"/>
      </w:pPr>
      <w:r w:rsidRPr="002A33F2">
        <w:t>Updates to the ‘</w:t>
      </w:r>
      <w:r w:rsidRPr="002A33F2">
        <w:rPr>
          <w:i/>
          <w:iCs/>
        </w:rPr>
        <w:t>Performance Summary’</w:t>
      </w:r>
      <w:r w:rsidRPr="002A33F2">
        <w:t xml:space="preserve"> in the 2023 Annual Report</w:t>
      </w:r>
    </w:p>
    <w:p w:rsidR="002A33F2" w:rsidRPr="002A33F2" w:rsidP="002A33F2">
      <w:pPr>
        <w:pStyle w:val="ESBodyText0"/>
        <w:spacing w:line="240" w:lineRule="auto"/>
      </w:pPr>
      <w:r w:rsidRPr="002A33F2">
        <w:t xml:space="preserve">Reporting on the following measures has been updated in the 2023 Annual Report to align with changes to departmental and public reporting products. </w:t>
      </w:r>
    </w:p>
    <w:p w:rsidR="002A33F2" w:rsidRPr="002A33F2" w:rsidP="002A33F2">
      <w:pPr>
        <w:pStyle w:val="ESBodyText0"/>
        <w:spacing w:line="240" w:lineRule="auto"/>
      </w:pPr>
      <w:r w:rsidRPr="002A33F2">
        <w:rPr>
          <w:b/>
          <w:bCs/>
        </w:rPr>
        <w:t>NAPLAN</w:t>
      </w:r>
      <w:r w:rsidRPr="002A33F2">
        <w:br/>
      </w:r>
      <w:r w:rsidRPr="002A33F2">
        <w:br/>
        <w:t>In 2023 NAPLAN was updated to report against proficiency standards. For further information on the changes to NAPLAN reporting in 2023, please refer to the National Assessment Program ‘</w:t>
      </w:r>
      <w:r>
        <w:fldChar w:fldCharType="begin"/>
      </w:r>
      <w:r>
        <w:instrText xml:space="preserve"> HYPERLINK "https://nap.edu.au/naplan/results-and-reports" </w:instrText>
      </w:r>
      <w:r>
        <w:fldChar w:fldCharType="separate"/>
      </w:r>
      <w:r w:rsidRPr="002A33F2">
        <w:rPr>
          <w:rStyle w:val="Hyperlink"/>
        </w:rPr>
        <w:t>Results and Reports</w:t>
      </w:r>
      <w:r>
        <w:fldChar w:fldCharType="end"/>
      </w:r>
      <w:r w:rsidRPr="002A33F2">
        <w:t xml:space="preserve">’ page. </w:t>
      </w:r>
    </w:p>
    <w:p w:rsidR="002A33F2" w:rsidRPr="002A33F2" w:rsidP="002A33F2">
      <w:pPr>
        <w:pStyle w:val="ESBodyText0"/>
        <w:spacing w:line="240" w:lineRule="auto"/>
      </w:pPr>
      <w:r w:rsidRPr="002A33F2">
        <w:t>In line with these changes, the NAPLAN section of the Performance Summary includes data on both 2022 and 2023 NAPLAN results. Please note that results from 2022 and 2023 are not comparable.</w:t>
      </w:r>
      <w:r w:rsidRPr="002A33F2">
        <w:t xml:space="preserve"> </w:t>
      </w:r>
    </w:p>
    <w:p w:rsidR="002A33F2" w:rsidRPr="002A33F2" w:rsidP="002A33F2">
      <w:pPr>
        <w:pStyle w:val="ESBodyText0"/>
        <w:spacing w:line="240" w:lineRule="auto"/>
      </w:pPr>
      <w:r w:rsidRPr="002A33F2">
        <w:t xml:space="preserve">The 2023 NAPLAN section reports on the percentage of students in the Strong or Exceeding proficiency levels. The 2022 NAPLAN section reports on the percentage of students in the top three bands. </w:t>
      </w:r>
    </w:p>
    <w:p w:rsidR="002A33F2" w:rsidRPr="002A33F2" w:rsidP="002A33F2">
      <w:pPr>
        <w:pStyle w:val="ESBodyText0"/>
        <w:spacing w:after="200" w:line="240" w:lineRule="auto"/>
      </w:pPr>
      <w:r w:rsidRPr="002A33F2">
        <w:t xml:space="preserve">The previously reported NAPLAN 4-year average will not be available until 2026, when there will be 4 years’ worth of NAPLAN data available under the new methodology. Similarly, 2023 NAPLAN Learning Gain data will not be available until 2024 as the measure requires a comparable two-year prior result as a point of comparison. </w:t>
      </w:r>
    </w:p>
    <w:p w:rsidR="002A33F2" w:rsidRPr="002A33F2" w:rsidP="002A33F2">
      <w:pPr>
        <w:pStyle w:val="ESBodyText0"/>
        <w:spacing w:line="240" w:lineRule="auto"/>
        <w:rPr>
          <w:b/>
          <w:bCs/>
        </w:rPr>
      </w:pPr>
      <w:r w:rsidRPr="002A33F2">
        <w:rPr>
          <w:b/>
          <w:bCs/>
        </w:rPr>
        <w:t xml:space="preserve">Parent/Caregiver/Guardian Opinion Survey, School Staff </w:t>
      </w:r>
      <w:r w:rsidRPr="002A33F2">
        <w:rPr>
          <w:b/>
          <w:bCs/>
        </w:rPr>
        <w:t>Survey</w:t>
      </w:r>
      <w:r w:rsidRPr="002A33F2">
        <w:rPr>
          <w:b/>
          <w:bCs/>
        </w:rPr>
        <w:t xml:space="preserve"> and the Attitudes to School Survey</w:t>
      </w:r>
    </w:p>
    <w:p w:rsidR="002A33F2" w:rsidRPr="002A33F2" w:rsidP="002A33F2">
      <w:pPr>
        <w:pStyle w:val="ESBodyText0"/>
        <w:spacing w:line="240" w:lineRule="auto"/>
      </w:pPr>
      <w:r w:rsidRPr="002A33F2">
        <w:t xml:space="preserve">The calculation of the percentage endorsement for all survey measures has been revised to no longer include skipped responses. This applies to all survey measures reported in the Performance Summary. The change to the calculation reduces the negative impact of skipped responses on school results, particularly where there were a small number of respondents to the survey.  </w:t>
      </w:r>
    </w:p>
    <w:p w:rsidR="002A33F2" w:rsidRPr="002A33F2" w:rsidP="002A33F2">
      <w:pPr>
        <w:pStyle w:val="ESBodyText0"/>
        <w:spacing w:line="240" w:lineRule="auto"/>
      </w:pPr>
      <w:r w:rsidRPr="002A33F2">
        <w:t>Additionally, the Parent Satisfaction measure has been revised to use the percentage endorsement of the ‘General School Satisfaction’ factor of the Parent/Caregiver/Guardian Opinion Survey only. Previously, this measure reflected an average of multiple factors in the survey. The change to reporting a single factor is consistent with how Parent Satisfaction is reported to schools and in other public reports.</w:t>
      </w:r>
    </w:p>
    <w:p w:rsidR="002A33F2" w:rsidRPr="002A33F2" w:rsidP="002A33F2">
      <w:pPr>
        <w:pStyle w:val="ESBodyText0"/>
        <w:spacing w:line="240" w:lineRule="auto"/>
        <w:rPr>
          <w:b/>
          <w:bCs/>
        </w:rPr>
      </w:pPr>
      <w:r w:rsidRPr="002A33F2">
        <w:rPr>
          <w:b/>
          <w:bCs/>
        </w:rPr>
        <w:t xml:space="preserve">Victorian Senior Secondary Certificate </w:t>
      </w:r>
    </w:p>
    <w:p w:rsidR="002A33F2" w:rsidP="002A33F2">
      <w:pPr>
        <w:pStyle w:val="ESBodyText0"/>
        <w:spacing w:line="240" w:lineRule="auto"/>
      </w:pPr>
      <w:r w:rsidRPr="002A33F2">
        <w:t>The Victorian Senior Secondary Certificate section has been revised to include the newly introduced VCE Vocational Major (VM) and the Victorian Pathways Certificate (VPC). This section reports on the Victorian Senior Secondary Certificate completion rate, which includes VCE and VCE VM students at the School, Similar School, and State level. Additionally, two new measures will report the number of students that were awarded either the VCE Vocational Major or the Victorian Pathways Certificate.</w:t>
      </w:r>
    </w:p>
    <w:p w:rsidR="003F425B" w:rsidP="0050417D">
      <w:pPr>
        <w:spacing w:line="240" w:lineRule="auto"/>
        <w:sectPr w:rsidSect="002334ED">
          <w:headerReference w:type="default" r:id="rId15"/>
          <w:footerReference w:type="default" r:id="rId16"/>
          <w:headerReference w:type="first" r:id="rId17"/>
          <w:pgSz w:w="11900" w:h="16840"/>
          <w:pgMar w:top="1276" w:right="567" w:bottom="709" w:left="567" w:header="142" w:footer="325" w:gutter="0"/>
          <w:cols w:space="397"/>
          <w:docGrid w:linePitch="360"/>
        </w:sectPr>
      </w:pPr>
      <w:r>
        <w:br w:type="page"/>
      </w:r>
    </w:p>
    <w:p w:rsidR="0038585D" w:rsidRPr="00EA76EA" w:rsidP="004A27D4">
      <w:pPr>
        <w:ind w:left="-567" w:right="-632"/>
        <w:rPr>
          <w:b/>
          <w:color w:val="AF272F"/>
          <w:sz w:val="32"/>
          <w:szCs w:val="32"/>
          <w:lang w:val="en-AU"/>
        </w:rPr>
      </w:pPr>
      <w:r w:rsidRPr="00EA76EA">
        <w:rPr>
          <w:b/>
          <w:color w:val="AF272F"/>
          <w:sz w:val="36"/>
          <w:szCs w:val="44"/>
          <w:lang w:val="en-AU"/>
        </w:rPr>
        <w:t>About Our School</w:t>
      </w: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tblPr>
      <w:tblGrid>
        <w:gridCol w:w="10774"/>
      </w:tblGrid>
      <w:tr w:rsidTr="006A3A85">
        <w:tblPrEx>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tblPrEx>
        <w:trPr>
          <w:trHeight w:val="15"/>
        </w:trPr>
        <w:tc>
          <w:tcPr>
            <w:tcW w:w="10774" w:type="dxa"/>
            <w:shd w:val="clear" w:color="auto" w:fill="auto"/>
          </w:tcPr>
          <w:p w:rsidR="00777DB2" w:rsidRPr="00EA76EA" w:rsidP="00F748EB">
            <w:pPr>
              <w:pStyle w:val="Style1"/>
              <w:spacing w:before="0"/>
              <w:jc w:val="both"/>
              <w:rPr>
                <w:b/>
                <w:bCs w:val="0"/>
                <w:szCs w:val="24"/>
                <w:lang w:val="en-AU"/>
              </w:rPr>
            </w:pPr>
            <w:r w:rsidRPr="00EA76EA">
              <w:rPr>
                <w:b/>
                <w:bCs w:val="0"/>
                <w:szCs w:val="24"/>
                <w:lang w:val="en-AU"/>
              </w:rPr>
              <w:t>School context</w:t>
            </w: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777DB2" w:rsidRPr="008E7831" w:rsidP="00994A0F">
            <w:pPr>
              <w:pStyle w:val="Heading3"/>
              <w:spacing w:before="0" w:after="0"/>
              <w:rPr>
                <w:rStyle w:val="DefaultParagraphFont"/>
                <w:b w:val="0"/>
                <w:color w:val="auto"/>
                <w:sz w:val="18"/>
                <w:szCs w:val="18"/>
              </w:rPr>
            </w:pPr>
            <w:r w:rsidRPr="008E7831">
              <w:rPr>
                <w:rStyle w:val="DefaultParagraphFont"/>
                <w:b/>
                <w:bCs/>
                <w:color w:val="auto"/>
                <w:sz w:val="18"/>
              </w:rPr>
              <w:t>School Vision</w:t>
            </w:r>
          </w:p>
          <w:p w:rsidR="00777DB2" w:rsidRPr="008E7831" w:rsidP="00994A0F">
            <w:pPr>
              <w:pStyle w:val="Heading3"/>
              <w:spacing w:before="0" w:after="0"/>
              <w:rPr>
                <w:rStyle w:val="DefaultParagraphFont"/>
                <w:b w:val="0"/>
                <w:color w:val="auto"/>
                <w:sz w:val="18"/>
                <w:szCs w:val="18"/>
              </w:rPr>
            </w:pPr>
            <w:r w:rsidRPr="008E7831">
              <w:rPr>
                <w:rStyle w:val="DefaultParagraphFont"/>
                <w:b w:val="0"/>
                <w:color w:val="auto"/>
                <w:sz w:val="18"/>
              </w:rPr>
              <w:t>Knowing our students and giving every student every opportunity to thrive by providing high-quality learning and pathways to success, aligned to their interests, aspirations and strengths.</w:t>
            </w:r>
          </w:p>
          <w:p w:rsidR="00777DB2" w:rsidRPr="008E7831" w:rsidP="00994A0F">
            <w:pPr>
              <w:pStyle w:val="Heading3"/>
              <w:spacing w:before="0" w:after="0"/>
              <w:rPr>
                <w:rStyle w:val="DefaultParagraphFont"/>
                <w:b w:val="0"/>
                <w:color w:val="auto"/>
                <w:sz w:val="18"/>
                <w:szCs w:val="18"/>
              </w:rPr>
            </w:pPr>
            <w:r w:rsidRPr="008E7831">
              <w:rPr>
                <w:rStyle w:val="DefaultParagraphFont"/>
                <w:b/>
                <w:bCs/>
                <w:color w:val="auto"/>
                <w:sz w:val="18"/>
              </w:rPr>
              <w:t>School Values</w:t>
            </w:r>
          </w:p>
          <w:p w:rsidR="00777DB2" w:rsidRPr="008E7831" w:rsidP="00994A0F">
            <w:pPr>
              <w:pStyle w:val="Heading3"/>
              <w:spacing w:before="0" w:after="0"/>
              <w:rPr>
                <w:rStyle w:val="DefaultParagraphFont"/>
                <w:b w:val="0"/>
                <w:color w:val="auto"/>
                <w:sz w:val="18"/>
                <w:szCs w:val="18"/>
              </w:rPr>
            </w:pPr>
            <w:r w:rsidRPr="008E7831">
              <w:rPr>
                <w:rStyle w:val="DefaultParagraphFont"/>
                <w:b w:val="0"/>
                <w:color w:val="auto"/>
                <w:sz w:val="18"/>
              </w:rPr>
              <w:t>Respect</w:t>
            </w:r>
          </w:p>
          <w:p w:rsidR="00777DB2" w:rsidRPr="008E7831" w:rsidP="00994A0F">
            <w:pPr>
              <w:pStyle w:val="Heading3"/>
              <w:spacing w:before="0" w:after="0"/>
              <w:rPr>
                <w:rStyle w:val="DefaultParagraphFont"/>
                <w:b w:val="0"/>
                <w:color w:val="auto"/>
                <w:sz w:val="18"/>
                <w:szCs w:val="18"/>
              </w:rPr>
            </w:pPr>
            <w:r w:rsidRPr="008E7831">
              <w:rPr>
                <w:rStyle w:val="DefaultParagraphFont"/>
                <w:b w:val="0"/>
                <w:color w:val="auto"/>
                <w:sz w:val="18"/>
              </w:rPr>
              <w:t>Responsibility</w:t>
            </w:r>
          </w:p>
          <w:p w:rsidR="00777DB2" w:rsidRPr="008E7831" w:rsidP="00994A0F">
            <w:pPr>
              <w:pStyle w:val="Heading3"/>
              <w:spacing w:before="0" w:after="0"/>
              <w:rPr>
                <w:rStyle w:val="DefaultParagraphFont"/>
                <w:b w:val="0"/>
                <w:color w:val="auto"/>
                <w:sz w:val="18"/>
                <w:szCs w:val="18"/>
              </w:rPr>
            </w:pPr>
            <w:r w:rsidRPr="008E7831">
              <w:rPr>
                <w:rStyle w:val="DefaultParagraphFont"/>
                <w:b w:val="0"/>
                <w:color w:val="auto"/>
                <w:sz w:val="18"/>
              </w:rPr>
              <w:t>Endeavour</w:t>
            </w:r>
          </w:p>
          <w:p w:rsidR="00777DB2" w:rsidRPr="008E7831" w:rsidP="00994A0F">
            <w:pPr>
              <w:pStyle w:val="Heading3"/>
              <w:spacing w:before="0" w:after="0"/>
              <w:rPr>
                <w:rStyle w:val="DefaultParagraphFont"/>
                <w:b w:val="0"/>
                <w:color w:val="auto"/>
                <w:sz w:val="18"/>
                <w:szCs w:val="18"/>
              </w:rPr>
            </w:pPr>
            <w:r w:rsidRPr="008E7831">
              <w:rPr>
                <w:rStyle w:val="DefaultParagraphFont"/>
                <w:b w:val="0"/>
                <w:color w:val="auto"/>
                <w:sz w:val="18"/>
              </w:rPr>
              <w:t>Honesty</w:t>
            </w:r>
          </w:p>
          <w:p w:rsidR="00777DB2" w:rsidRPr="008E7831" w:rsidP="00994A0F">
            <w:pPr>
              <w:pStyle w:val="Heading3"/>
              <w:spacing w:before="0" w:after="0"/>
              <w:rPr>
                <w:rStyle w:val="DefaultParagraphFont"/>
                <w:b w:val="0"/>
                <w:color w:val="auto"/>
                <w:sz w:val="18"/>
                <w:szCs w:val="18"/>
              </w:rPr>
            </w:pPr>
            <w:r w:rsidRPr="008E7831">
              <w:rPr>
                <w:rStyle w:val="DefaultParagraphFont"/>
                <w:b/>
                <w:bCs/>
                <w:color w:val="auto"/>
                <w:sz w:val="18"/>
              </w:rPr>
              <w:t>School Context</w:t>
            </w:r>
          </w:p>
          <w:p w:rsidR="00777DB2" w:rsidRPr="008E7831" w:rsidP="00994A0F">
            <w:pPr>
              <w:pStyle w:val="Heading3"/>
              <w:spacing w:before="0" w:after="0"/>
              <w:rPr>
                <w:rStyle w:val="DefaultParagraphFont"/>
                <w:b w:val="0"/>
                <w:color w:val="auto"/>
                <w:sz w:val="18"/>
                <w:szCs w:val="18"/>
              </w:rPr>
            </w:pPr>
            <w:r w:rsidRPr="008E7831">
              <w:rPr>
                <w:rStyle w:val="DefaultParagraphFont"/>
                <w:b w:val="0"/>
                <w:color w:val="auto"/>
                <w:sz w:val="18"/>
              </w:rPr>
              <w:t>Fountain Gate Secondary College was established as a Year 7-12 stand-alone school in 2009.  The school is located in Narre Warren within the south-east growth corridor of the City of Casey and has a total enrolment of 1276 students. Our Leadership Profile consists of the College Principal, 5 Assistant Principals, 11 Leading Teachers and 10 Learning Specialists. In total there are 190 teachers and Education Support staff. We provide an excellent, comprehensive education for the Narre Warren community in a secure, supportive and educationally challenging environment.   The College recognises and values the diversity of its community that is drawn from different social, economic and cultural backgrounds.  We have well-established relationships with our feeder Primary Schools through the Casey North Network.</w:t>
            </w:r>
          </w:p>
          <w:p w:rsidR="00777DB2" w:rsidRPr="008E7831" w:rsidP="00994A0F">
            <w:pPr>
              <w:pStyle w:val="Heading3"/>
              <w:spacing w:before="0" w:after="0"/>
              <w:rPr>
                <w:rStyle w:val="DefaultParagraphFont"/>
                <w:b w:val="0"/>
                <w:color w:val="auto"/>
                <w:sz w:val="18"/>
                <w:szCs w:val="18"/>
              </w:rPr>
            </w:pPr>
            <w:r w:rsidRPr="008E7831">
              <w:rPr>
                <w:rStyle w:val="DefaultParagraphFont"/>
                <w:b w:val="0"/>
                <w:color w:val="auto"/>
                <w:sz w:val="18"/>
              </w:rPr>
              <w:t>As part of our Strategic Plan, our school will aim to:</w:t>
            </w:r>
          </w:p>
          <w:p w:rsidR="00777DB2" w:rsidRPr="008E7831" w:rsidP="00994A0F">
            <w:pPr>
              <w:pStyle w:val="Heading3"/>
              <w:numPr>
                <w:ilvl w:val="0"/>
                <w:numId w:val="27"/>
              </w:numPr>
              <w:spacing w:before="0" w:after="0"/>
              <w:ind w:left="720" w:hanging="235"/>
              <w:rPr>
                <w:rStyle w:val="DefaultParagraphFont"/>
                <w:b w:val="0"/>
                <w:color w:val="auto"/>
                <w:sz w:val="18"/>
                <w:szCs w:val="18"/>
              </w:rPr>
            </w:pPr>
            <w:r w:rsidRPr="008E7831">
              <w:rPr>
                <w:rStyle w:val="DefaultParagraphFont"/>
                <w:b w:val="0"/>
                <w:color w:val="auto"/>
                <w:sz w:val="18"/>
              </w:rPr>
              <w:t>Continue to implement the Whole School Improvement Plan, with an increased focus on excellence in teaching and learning, by way of embedding the College Instructional Model, Guaranteed and Viable Curriculum, Professional Learning Communities (PLCs), rigorous professional development program, and peer observation program.</w:t>
            </w:r>
          </w:p>
          <w:p w:rsidR="00777DB2" w:rsidRPr="008E7831" w:rsidP="00994A0F">
            <w:pPr>
              <w:pStyle w:val="Heading3"/>
              <w:numPr>
                <w:ilvl w:val="0"/>
                <w:numId w:val="27"/>
              </w:numPr>
              <w:spacing w:before="0" w:after="0"/>
              <w:ind w:left="720" w:hanging="235"/>
              <w:rPr>
                <w:rStyle w:val="DefaultParagraphFont"/>
                <w:b w:val="0"/>
                <w:color w:val="auto"/>
                <w:sz w:val="18"/>
                <w:szCs w:val="18"/>
              </w:rPr>
            </w:pPr>
            <w:r w:rsidRPr="008E7831">
              <w:rPr>
                <w:rStyle w:val="DefaultParagraphFont"/>
                <w:b w:val="0"/>
                <w:color w:val="auto"/>
                <w:sz w:val="18"/>
              </w:rPr>
              <w:t>Develop a curriculum and pedagogical model that builds upon a positive climate for learning, which allows for greater student agency in learning and student empowerment across the College, via greater student leadership and decision making.</w:t>
            </w:r>
          </w:p>
          <w:p w:rsidR="00777DB2" w:rsidRPr="008E7831" w:rsidP="00994A0F">
            <w:pPr>
              <w:pStyle w:val="Heading3"/>
              <w:numPr>
                <w:ilvl w:val="0"/>
                <w:numId w:val="27"/>
              </w:numPr>
              <w:spacing w:before="0" w:after="0"/>
              <w:ind w:left="720" w:hanging="235"/>
              <w:rPr>
                <w:rStyle w:val="DefaultParagraphFont"/>
                <w:b w:val="0"/>
                <w:color w:val="auto"/>
                <w:sz w:val="18"/>
                <w:szCs w:val="18"/>
              </w:rPr>
            </w:pPr>
            <w:r w:rsidRPr="008E7831">
              <w:rPr>
                <w:rStyle w:val="DefaultParagraphFont"/>
                <w:b w:val="0"/>
                <w:color w:val="auto"/>
                <w:sz w:val="18"/>
              </w:rPr>
              <w:t>Increase Literacy and Numeracy growth through data informed differentiated learning, targeted intervention, and allied professionals.</w:t>
            </w:r>
          </w:p>
          <w:p w:rsidR="00777DB2" w:rsidRPr="008E7831" w:rsidP="00994A0F">
            <w:pPr>
              <w:pStyle w:val="Heading3"/>
              <w:numPr>
                <w:ilvl w:val="0"/>
                <w:numId w:val="27"/>
              </w:numPr>
              <w:spacing w:before="0" w:after="0"/>
              <w:ind w:left="720" w:hanging="235"/>
              <w:rPr>
                <w:rStyle w:val="DefaultParagraphFont"/>
                <w:b w:val="0"/>
                <w:color w:val="auto"/>
                <w:sz w:val="18"/>
                <w:szCs w:val="18"/>
              </w:rPr>
            </w:pPr>
            <w:r w:rsidRPr="008E7831">
              <w:rPr>
                <w:rStyle w:val="DefaultParagraphFont"/>
                <w:b w:val="0"/>
                <w:color w:val="auto"/>
                <w:sz w:val="18"/>
              </w:rPr>
              <w:t>Further develop teacher capacity in shared instructional leadership through professional development and coaching.</w:t>
            </w:r>
          </w:p>
          <w:p w:rsidR="00777DB2" w:rsidRPr="008E7831" w:rsidP="00994A0F">
            <w:pPr>
              <w:pStyle w:val="Heading3"/>
              <w:numPr>
                <w:ilvl w:val="0"/>
                <w:numId w:val="27"/>
              </w:numPr>
              <w:spacing w:before="0" w:after="0"/>
              <w:ind w:left="720" w:hanging="235"/>
              <w:rPr>
                <w:rStyle w:val="DefaultParagraphFont"/>
                <w:b w:val="0"/>
                <w:color w:val="auto"/>
                <w:sz w:val="18"/>
                <w:szCs w:val="18"/>
              </w:rPr>
            </w:pPr>
            <w:r w:rsidRPr="008E7831">
              <w:rPr>
                <w:rStyle w:val="DefaultParagraphFont"/>
                <w:b w:val="0"/>
                <w:color w:val="auto"/>
                <w:sz w:val="18"/>
              </w:rPr>
              <w:t>Design and implement a comprehensive pastoral program to focus on developing student capacity for resilience, emotional and social intelligence, independent learning and effective learning habits.</w:t>
            </w:r>
          </w:p>
          <w:p w:rsidR="00777DB2" w:rsidRPr="008E7831" w:rsidP="00994A0F">
            <w:pPr>
              <w:pStyle w:val="Heading3"/>
              <w:numPr>
                <w:ilvl w:val="0"/>
                <w:numId w:val="27"/>
              </w:numPr>
              <w:spacing w:before="0" w:after="0"/>
              <w:ind w:left="720" w:hanging="235"/>
              <w:rPr>
                <w:rStyle w:val="DefaultParagraphFont"/>
                <w:b w:val="0"/>
                <w:color w:val="auto"/>
                <w:sz w:val="18"/>
                <w:szCs w:val="18"/>
              </w:rPr>
            </w:pPr>
            <w:r w:rsidRPr="008E7831">
              <w:rPr>
                <w:rStyle w:val="DefaultParagraphFont"/>
                <w:b w:val="0"/>
                <w:color w:val="auto"/>
                <w:sz w:val="18"/>
              </w:rPr>
              <w:t>To enhance community engagement in learning by strengthening relationships with our feeder primary schools, and continue to build existing partnerships with parents and the wider community.</w:t>
            </w:r>
          </w:p>
          <w:p w:rsidR="00777DB2" w:rsidRPr="008E7831" w:rsidP="00994A0F">
            <w:pPr>
              <w:pStyle w:val="Heading3"/>
              <w:numPr>
                <w:ilvl w:val="0"/>
                <w:numId w:val="27"/>
              </w:numPr>
              <w:spacing w:before="0" w:after="0"/>
              <w:ind w:left="720" w:hanging="235"/>
              <w:rPr>
                <w:rStyle w:val="DefaultParagraphFont"/>
                <w:b w:val="0"/>
                <w:color w:val="auto"/>
                <w:sz w:val="18"/>
                <w:szCs w:val="18"/>
              </w:rPr>
            </w:pPr>
            <w:r w:rsidRPr="008E7831">
              <w:rPr>
                <w:rStyle w:val="DefaultParagraphFont"/>
                <w:b w:val="0"/>
                <w:color w:val="auto"/>
                <w:sz w:val="18"/>
              </w:rPr>
              <w:t>Further develop pedagogy, curriculum and learning environments to enable deep learning.  </w:t>
            </w:r>
          </w:p>
          <w:p w:rsidR="00777DB2" w:rsidRPr="008E7831" w:rsidP="00994A0F">
            <w:pPr>
              <w:pStyle w:val="Heading3"/>
              <w:spacing w:before="0" w:after="0"/>
              <w:jc w:val="both"/>
              <w:rPr>
                <w:rStyle w:val="DefaultParagraphFont"/>
                <w:b w:val="0"/>
                <w:color w:val="auto"/>
                <w:sz w:val="18"/>
                <w:szCs w:val="18"/>
              </w:rPr>
            </w:pPr>
            <w:r w:rsidRPr="008E7831">
              <w:rPr>
                <w:rStyle w:val="DefaultParagraphFont"/>
                <w:b w:val="0"/>
                <w:color w:val="auto"/>
                <w:sz w:val="18"/>
              </w:rPr>
              <w:t>Fountain Gate Secondary College provides a Year 7 to Year 12 learning program through the Victorian Curriculum, the Victorian Certificate of Education (VCE), Victorian Certificate of Education – Vocation Major (VCE-VM) and a range of Victorian Education and Training (VET) offerings.</w:t>
            </w:r>
          </w:p>
          <w:p w:rsidR="00777DB2" w:rsidRPr="008E7831" w:rsidP="00994A0F">
            <w:pPr>
              <w:pStyle w:val="Heading3"/>
              <w:spacing w:before="0" w:after="0"/>
              <w:jc w:val="both"/>
              <w:rPr>
                <w:rStyle w:val="DefaultParagraphFont"/>
                <w:b w:val="0"/>
                <w:color w:val="auto"/>
                <w:sz w:val="18"/>
                <w:szCs w:val="18"/>
              </w:rPr>
            </w:pPr>
            <w:r w:rsidRPr="008E7831">
              <w:rPr>
                <w:rStyle w:val="DefaultParagraphFont"/>
                <w:b w:val="0"/>
                <w:color w:val="auto"/>
                <w:sz w:val="18"/>
              </w:rPr>
              <w:t>To support the wellbeing and educational needs of our students we have a partnership with Headspace and have an onsite team consisting of: College Wellbeing Leader, Attendance Manager, Attendance Officers for each Year Level Hub, Inclusion Coordinator, Wellbeing Coordinator, Youth Worker, Counsellor, Speech Pathologist, Adolescent Health Nurse, Multicultural Aides, Occupational Therapist, onsite psychologists, School Nurse and the ‘Doctors in School’ program. All students are encouraged to achieve their ‘personal best’. An extensive awards system operates throughout the year that recognises student achievement, acts of citizenship and contributions to a positive school community. The College successfully competes through interschool sports, a Soccer Academy and Rugby Union Elite Program at district, zone, state and national level.</w:t>
            </w:r>
          </w:p>
          <w:p w:rsidR="00777DB2" w:rsidRPr="008E7831" w:rsidP="00994A0F">
            <w:pPr>
              <w:pStyle w:val="Heading3"/>
              <w:spacing w:before="0" w:after="0"/>
              <w:rPr>
                <w:rStyle w:val="DefaultParagraphFont"/>
                <w:b w:val="0"/>
                <w:color w:val="auto"/>
                <w:sz w:val="18"/>
                <w:szCs w:val="18"/>
              </w:rPr>
            </w:pPr>
            <w:r w:rsidRPr="008E7831">
              <w:rPr>
                <w:rStyle w:val="DefaultParagraphFont"/>
                <w:b w:val="0"/>
                <w:color w:val="auto"/>
                <w:sz w:val="18"/>
              </w:rPr>
              <w:t>Fountain Gate Secondary College is committed to providing a high quality educational program that supports all students to fulfil their potential and achieve their goals in life. We understand that learning involves the curious pursuit of new ideas, insights, attitudes, knowledge, understanding and skills, which aim at fostering critical and creative thinking, and therefore deeper learning.</w:t>
            </w:r>
          </w:p>
          <w:p w:rsidR="00777DB2" w:rsidRPr="008E7831" w:rsidP="00994A0F">
            <w:pPr>
              <w:pStyle w:val="Heading3"/>
              <w:spacing w:before="0" w:after="0"/>
              <w:rPr>
                <w:b w:val="0"/>
                <w:color w:val="auto"/>
                <w:sz w:val="18"/>
                <w:lang w:val="en-AU"/>
              </w:rPr>
            </w:pP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777DB2" w:rsidRPr="00EA76EA" w:rsidP="00F748EB">
            <w:pPr>
              <w:pStyle w:val="Style1"/>
              <w:spacing w:before="0"/>
              <w:jc w:val="both"/>
              <w:rPr>
                <w:szCs w:val="24"/>
                <w:lang w:val="en-AU"/>
              </w:rPr>
            </w:pPr>
            <w:r w:rsidRPr="00EA76EA">
              <w:rPr>
                <w:rFonts w:cs="Times New Roman"/>
                <w:b/>
                <w:lang w:val="en-AU"/>
              </w:rPr>
              <w:t>Progress towards strategic goals, student outcomes and student engagement</w:t>
            </w: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777DB2" w:rsidRPr="00EA76EA" w:rsidP="00994A0F">
            <w:pPr>
              <w:pStyle w:val="Heading3"/>
              <w:spacing w:before="0" w:after="0"/>
              <w:rPr>
                <w:b w:val="0"/>
                <w:szCs w:val="20"/>
                <w:lang w:val="en-AU"/>
              </w:rPr>
            </w:pPr>
            <w:r w:rsidRPr="00EA76EA">
              <w:rPr>
                <w:bCs/>
                <w:color w:val="C00000"/>
                <w:szCs w:val="20"/>
                <w:lang w:val="en-AU"/>
              </w:rPr>
              <w:t>Learning</w:t>
            </w: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B431AC"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2023 was a busy year at Fountain Gate Secondary College with many strategies being implemented to improve student learning outcomes. We had a successful school review and developed a new strategic plan 2023 - 2026. In 2023, the College through its goals, key improvement strategies and targets in the AIP and Improvement story focused strongly on explicit teaching, pedagogy in Mathematics, Senior School. Our targeted and intentional work in these key priority areas have been successful in improving student growth and achievement as indicated in the data below:</w:t>
            </w:r>
          </w:p>
          <w:p w:rsidR="00B431AC" w:rsidRPr="00EA76EA" w:rsidP="00994A0F">
            <w:pPr>
              <w:pStyle w:val="Heading3"/>
              <w:spacing w:before="0" w:after="0"/>
              <w:rPr>
                <w:rStyle w:val="DefaultParagraphFont"/>
                <w:b w:val="0"/>
                <w:color w:val="auto"/>
                <w:sz w:val="18"/>
                <w:szCs w:val="18"/>
              </w:rPr>
            </w:pPr>
            <w:r w:rsidRPr="00EA76EA">
              <w:rPr>
                <w:rStyle w:val="DefaultParagraphFont"/>
                <w:b/>
                <w:bCs/>
                <w:color w:val="auto"/>
                <w:sz w:val="18"/>
              </w:rPr>
              <w:t>NAPLAN</w:t>
            </w:r>
          </w:p>
          <w:p w:rsidR="00B431AC" w:rsidRPr="00EA76EA" w:rsidP="00994A0F">
            <w:pPr>
              <w:pStyle w:val="Heading3"/>
              <w:numPr>
                <w:ilvl w:val="0"/>
                <w:numId w:val="28"/>
              </w:numPr>
              <w:spacing w:before="0" w:after="0"/>
              <w:ind w:left="720" w:hanging="183"/>
              <w:rPr>
                <w:rStyle w:val="DefaultParagraphFont"/>
                <w:b w:val="0"/>
                <w:color w:val="auto"/>
                <w:sz w:val="18"/>
                <w:szCs w:val="18"/>
              </w:rPr>
            </w:pPr>
            <w:r w:rsidRPr="00EA76EA">
              <w:rPr>
                <w:rStyle w:val="DefaultParagraphFont"/>
                <w:b w:val="0"/>
                <w:color w:val="auto"/>
                <w:sz w:val="18"/>
              </w:rPr>
              <w:t>Year 7 achievement exceeded ‘Similar Schools’ in Reading, Numeracy</w:t>
            </w:r>
          </w:p>
          <w:p w:rsidR="00B431AC" w:rsidRPr="00EA76EA" w:rsidP="00994A0F">
            <w:pPr>
              <w:pStyle w:val="Heading3"/>
              <w:numPr>
                <w:ilvl w:val="0"/>
                <w:numId w:val="28"/>
              </w:numPr>
              <w:spacing w:before="0" w:after="0"/>
              <w:ind w:left="720" w:hanging="183"/>
              <w:rPr>
                <w:rStyle w:val="DefaultParagraphFont"/>
                <w:b w:val="0"/>
                <w:color w:val="auto"/>
                <w:sz w:val="18"/>
                <w:szCs w:val="18"/>
              </w:rPr>
            </w:pPr>
            <w:r w:rsidRPr="00EA76EA">
              <w:rPr>
                <w:rStyle w:val="DefaultParagraphFont"/>
                <w:b w:val="0"/>
                <w:color w:val="auto"/>
                <w:sz w:val="18"/>
              </w:rPr>
              <w:t>Year 9 achievement for relative growth exceeded ‘Similar Schools’ AND the state for Numeracy</w:t>
            </w:r>
          </w:p>
          <w:p w:rsidR="00B431AC" w:rsidRPr="00EA76EA" w:rsidP="00994A0F">
            <w:pPr>
              <w:pStyle w:val="Heading3"/>
              <w:numPr>
                <w:ilvl w:val="0"/>
                <w:numId w:val="28"/>
              </w:numPr>
              <w:spacing w:before="0" w:after="0"/>
              <w:ind w:left="720" w:hanging="183"/>
              <w:rPr>
                <w:rStyle w:val="DefaultParagraphFont"/>
                <w:b w:val="0"/>
                <w:color w:val="auto"/>
                <w:sz w:val="18"/>
                <w:szCs w:val="18"/>
              </w:rPr>
            </w:pPr>
            <w:r w:rsidRPr="00EA76EA">
              <w:rPr>
                <w:rStyle w:val="DefaultParagraphFont"/>
                <w:b w:val="0"/>
                <w:color w:val="auto"/>
                <w:sz w:val="18"/>
              </w:rPr>
              <w:t>Increase the percentage of Year 9 students at 'Exceeding' or 'Strong' in NAPLAN Numeracy, from 48% to 50%.</w:t>
            </w:r>
          </w:p>
          <w:p w:rsidR="00B431AC" w:rsidRPr="00EA76EA" w:rsidP="00994A0F">
            <w:pPr>
              <w:pStyle w:val="Heading3"/>
              <w:numPr>
                <w:ilvl w:val="0"/>
                <w:numId w:val="28"/>
              </w:numPr>
              <w:spacing w:before="0" w:after="0"/>
              <w:ind w:left="720" w:hanging="183"/>
              <w:rPr>
                <w:rStyle w:val="DefaultParagraphFont"/>
                <w:b w:val="0"/>
                <w:color w:val="auto"/>
                <w:sz w:val="18"/>
                <w:szCs w:val="18"/>
              </w:rPr>
            </w:pPr>
            <w:r w:rsidRPr="00EA76EA">
              <w:rPr>
                <w:rStyle w:val="DefaultParagraphFont"/>
                <w:b w:val="0"/>
                <w:color w:val="auto"/>
                <w:sz w:val="18"/>
              </w:rPr>
              <w:t>Increase the percentage of Year 9 students at 'Exceeding' or 'Strong' in NAPLAN Reading, from 46% to 49%.</w:t>
            </w:r>
          </w:p>
          <w:p w:rsidR="00B431AC" w:rsidRPr="00EA76EA" w:rsidP="00994A0F">
            <w:pPr>
              <w:pStyle w:val="Heading3"/>
              <w:numPr>
                <w:ilvl w:val="0"/>
                <w:numId w:val="28"/>
              </w:numPr>
              <w:spacing w:before="0" w:after="0"/>
              <w:ind w:left="720" w:hanging="183"/>
              <w:rPr>
                <w:rStyle w:val="DefaultParagraphFont"/>
                <w:b w:val="0"/>
                <w:color w:val="auto"/>
                <w:sz w:val="18"/>
                <w:szCs w:val="18"/>
              </w:rPr>
            </w:pPr>
            <w:r w:rsidRPr="00EA76EA">
              <w:rPr>
                <w:rStyle w:val="DefaultParagraphFont"/>
                <w:b w:val="0"/>
                <w:color w:val="auto"/>
                <w:sz w:val="18"/>
              </w:rPr>
              <w:t>Increase the percentage of Year 9 students at 'Exceeding' or 'Strong' in NAPLAN Writing, from 49% to 51%.</w:t>
            </w:r>
          </w:p>
          <w:p w:rsidR="00B431AC" w:rsidRPr="00EA76EA" w:rsidP="00994A0F">
            <w:pPr>
              <w:pStyle w:val="Heading3"/>
              <w:spacing w:before="0" w:after="0"/>
              <w:rPr>
                <w:rStyle w:val="DefaultParagraphFont"/>
                <w:b w:val="0"/>
                <w:color w:val="auto"/>
                <w:sz w:val="18"/>
                <w:szCs w:val="18"/>
              </w:rPr>
            </w:pPr>
            <w:r w:rsidRPr="00EA76EA">
              <w:rPr>
                <w:rStyle w:val="DefaultParagraphFont"/>
                <w:b/>
                <w:bCs/>
                <w:color w:val="auto"/>
                <w:sz w:val="18"/>
              </w:rPr>
              <w:t>Senior Studies</w:t>
            </w:r>
          </w:p>
          <w:p w:rsidR="00B431AC" w:rsidRPr="00EA76EA" w:rsidP="00994A0F">
            <w:pPr>
              <w:pStyle w:val="Heading3"/>
              <w:numPr>
                <w:ilvl w:val="0"/>
                <w:numId w:val="29"/>
              </w:numPr>
              <w:spacing w:before="0" w:after="0"/>
              <w:ind w:left="720" w:hanging="183"/>
              <w:rPr>
                <w:rStyle w:val="DefaultParagraphFont"/>
                <w:b w:val="0"/>
                <w:color w:val="auto"/>
                <w:sz w:val="18"/>
                <w:szCs w:val="18"/>
              </w:rPr>
            </w:pPr>
            <w:r w:rsidRPr="00EA76EA">
              <w:rPr>
                <w:rStyle w:val="DefaultParagraphFont"/>
                <w:b w:val="0"/>
                <w:color w:val="auto"/>
                <w:sz w:val="18"/>
              </w:rPr>
              <w:t>Increase in the VCE all studies median score from 25 to 27</w:t>
            </w:r>
          </w:p>
          <w:p w:rsidR="00B431AC" w:rsidRPr="00EA76EA" w:rsidP="00994A0F">
            <w:pPr>
              <w:pStyle w:val="Heading3"/>
              <w:numPr>
                <w:ilvl w:val="0"/>
                <w:numId w:val="29"/>
              </w:numPr>
              <w:spacing w:before="0" w:after="0"/>
              <w:ind w:left="720" w:hanging="183"/>
              <w:rPr>
                <w:rStyle w:val="DefaultParagraphFont"/>
                <w:b w:val="0"/>
                <w:color w:val="auto"/>
                <w:sz w:val="18"/>
                <w:szCs w:val="18"/>
              </w:rPr>
            </w:pPr>
            <w:r w:rsidRPr="00EA76EA">
              <w:rPr>
                <w:rStyle w:val="DefaultParagraphFont"/>
                <w:b w:val="0"/>
                <w:color w:val="auto"/>
                <w:sz w:val="18"/>
              </w:rPr>
              <w:t>Increase in the VCE all studies mean 25.3 to 26.8</w:t>
            </w:r>
          </w:p>
          <w:p w:rsidR="00B431AC" w:rsidRPr="00EA76EA" w:rsidP="00994A0F">
            <w:pPr>
              <w:pStyle w:val="Heading3"/>
              <w:numPr>
                <w:ilvl w:val="0"/>
                <w:numId w:val="29"/>
              </w:numPr>
              <w:spacing w:before="0" w:after="0"/>
              <w:ind w:left="720" w:hanging="183"/>
              <w:rPr>
                <w:rStyle w:val="DefaultParagraphFont"/>
                <w:b w:val="0"/>
                <w:color w:val="auto"/>
                <w:sz w:val="18"/>
                <w:szCs w:val="18"/>
              </w:rPr>
            </w:pPr>
            <w:r w:rsidRPr="00EA76EA">
              <w:rPr>
                <w:rStyle w:val="DefaultParagraphFont"/>
                <w:b w:val="0"/>
                <w:color w:val="auto"/>
                <w:sz w:val="18"/>
              </w:rPr>
              <w:t>Increase in the VCE English study score mean from 25.01 to 26.64</w:t>
            </w:r>
          </w:p>
          <w:p w:rsidR="00B431AC" w:rsidRPr="00EA76EA" w:rsidP="00994A0F">
            <w:pPr>
              <w:pStyle w:val="Heading3"/>
              <w:numPr>
                <w:ilvl w:val="0"/>
                <w:numId w:val="29"/>
              </w:numPr>
              <w:spacing w:before="0" w:after="0"/>
              <w:ind w:left="720" w:hanging="183"/>
              <w:rPr>
                <w:rStyle w:val="DefaultParagraphFont"/>
                <w:b w:val="0"/>
                <w:color w:val="auto"/>
                <w:sz w:val="18"/>
                <w:szCs w:val="18"/>
              </w:rPr>
            </w:pPr>
            <w:r w:rsidRPr="00EA76EA">
              <w:rPr>
                <w:rStyle w:val="DefaultParagraphFont"/>
                <w:b w:val="0"/>
                <w:color w:val="auto"/>
                <w:sz w:val="18"/>
              </w:rPr>
              <w:t>Maintain a VCE EAL mean study score from 27.11 to 29.76</w:t>
            </w:r>
          </w:p>
          <w:p w:rsidR="00B431AC" w:rsidRPr="00EA76EA" w:rsidP="00994A0F">
            <w:pPr>
              <w:pStyle w:val="Heading3"/>
              <w:numPr>
                <w:ilvl w:val="0"/>
                <w:numId w:val="29"/>
              </w:numPr>
              <w:spacing w:before="0" w:after="0"/>
              <w:ind w:left="720" w:hanging="183"/>
              <w:rPr>
                <w:rStyle w:val="DefaultParagraphFont"/>
                <w:b w:val="0"/>
                <w:color w:val="auto"/>
                <w:sz w:val="18"/>
                <w:szCs w:val="18"/>
              </w:rPr>
            </w:pPr>
            <w:r w:rsidRPr="00EA76EA">
              <w:rPr>
                <w:rStyle w:val="DefaultParagraphFont"/>
                <w:b w:val="0"/>
                <w:color w:val="auto"/>
                <w:sz w:val="18"/>
              </w:rPr>
              <w:t>Increase the VCE General Maths mean study score from 26.73 to 27.59.</w:t>
            </w:r>
          </w:p>
          <w:p w:rsidR="00B431AC" w:rsidRPr="00EA76EA" w:rsidP="00994A0F">
            <w:pPr>
              <w:pStyle w:val="Heading3"/>
              <w:numPr>
                <w:ilvl w:val="0"/>
                <w:numId w:val="29"/>
              </w:numPr>
              <w:spacing w:before="0" w:after="0"/>
              <w:ind w:left="720" w:hanging="183"/>
              <w:rPr>
                <w:rStyle w:val="DefaultParagraphFont"/>
                <w:b w:val="0"/>
                <w:color w:val="auto"/>
                <w:sz w:val="18"/>
                <w:szCs w:val="18"/>
              </w:rPr>
            </w:pPr>
            <w:r w:rsidRPr="00EA76EA">
              <w:rPr>
                <w:rStyle w:val="DefaultParagraphFont"/>
                <w:b w:val="0"/>
                <w:color w:val="auto"/>
                <w:sz w:val="18"/>
              </w:rPr>
              <w:t>Increase the VCE Maths Methods mean study score from 24.47 to 25.68.</w:t>
            </w:r>
          </w:p>
          <w:p w:rsidR="00B431AC" w:rsidRPr="00EA76EA" w:rsidP="00994A0F">
            <w:pPr>
              <w:pStyle w:val="Heading3"/>
              <w:spacing w:before="0" w:after="0"/>
              <w:rPr>
                <w:rStyle w:val="DefaultParagraphFont"/>
                <w:b w:val="0"/>
                <w:color w:val="auto"/>
                <w:sz w:val="18"/>
                <w:szCs w:val="18"/>
              </w:rPr>
            </w:pPr>
            <w:r w:rsidRPr="00EA76EA">
              <w:rPr>
                <w:rStyle w:val="DefaultParagraphFont"/>
                <w:b/>
                <w:bCs/>
                <w:color w:val="auto"/>
                <w:sz w:val="18"/>
              </w:rPr>
              <w:t>Learning Progress - Numeracy (AIP Priority Goal)</w:t>
            </w:r>
          </w:p>
          <w:p w:rsidR="00B431AC"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Numeracy Learning Specialist worked closely with the maths/numeracy team to:</w:t>
            </w:r>
          </w:p>
          <w:p w:rsidR="00B431AC" w:rsidRPr="00EA76EA" w:rsidP="00994A0F">
            <w:pPr>
              <w:pStyle w:val="Heading3"/>
              <w:numPr>
                <w:ilvl w:val="0"/>
                <w:numId w:val="30"/>
              </w:numPr>
              <w:spacing w:before="0" w:after="0"/>
              <w:ind w:left="720" w:hanging="183"/>
              <w:rPr>
                <w:rStyle w:val="DefaultParagraphFont"/>
                <w:b w:val="0"/>
                <w:color w:val="auto"/>
                <w:sz w:val="18"/>
                <w:szCs w:val="18"/>
              </w:rPr>
            </w:pPr>
            <w:r w:rsidRPr="00EA76EA">
              <w:rPr>
                <w:rStyle w:val="DefaultParagraphFont"/>
                <w:b w:val="0"/>
                <w:color w:val="auto"/>
                <w:sz w:val="18"/>
              </w:rPr>
              <w:t>Map the year 7 maths curriculum.</w:t>
            </w:r>
          </w:p>
          <w:p w:rsidR="00B431AC" w:rsidRPr="00EA76EA" w:rsidP="00994A0F">
            <w:pPr>
              <w:pStyle w:val="Heading3"/>
              <w:numPr>
                <w:ilvl w:val="0"/>
                <w:numId w:val="30"/>
              </w:numPr>
              <w:spacing w:before="0" w:after="0"/>
              <w:ind w:left="720" w:hanging="183"/>
              <w:rPr>
                <w:rStyle w:val="DefaultParagraphFont"/>
                <w:b w:val="0"/>
                <w:color w:val="auto"/>
                <w:sz w:val="18"/>
                <w:szCs w:val="18"/>
              </w:rPr>
            </w:pPr>
            <w:r w:rsidRPr="00EA76EA">
              <w:rPr>
                <w:rStyle w:val="DefaultParagraphFont"/>
                <w:b w:val="0"/>
                <w:color w:val="auto"/>
                <w:sz w:val="18"/>
              </w:rPr>
              <w:t>Build teacher capacity by providing targeted professional learning</w:t>
            </w:r>
          </w:p>
          <w:p w:rsidR="00B431AC" w:rsidRPr="00EA76EA" w:rsidP="00994A0F">
            <w:pPr>
              <w:pStyle w:val="Heading3"/>
              <w:numPr>
                <w:ilvl w:val="0"/>
                <w:numId w:val="30"/>
              </w:numPr>
              <w:spacing w:before="0" w:after="0"/>
              <w:ind w:left="720" w:hanging="183"/>
              <w:rPr>
                <w:rStyle w:val="DefaultParagraphFont"/>
                <w:b w:val="0"/>
                <w:color w:val="auto"/>
                <w:sz w:val="18"/>
                <w:szCs w:val="18"/>
              </w:rPr>
            </w:pPr>
            <w:r w:rsidRPr="00EA76EA">
              <w:rPr>
                <w:rStyle w:val="DefaultParagraphFont"/>
                <w:b w:val="0"/>
                <w:color w:val="auto"/>
                <w:sz w:val="18"/>
              </w:rPr>
              <w:t>Build data literacy to ensure a shift towards data informed practices</w:t>
            </w:r>
          </w:p>
          <w:p w:rsidR="00B431AC" w:rsidRPr="00EA76EA" w:rsidP="00994A0F">
            <w:pPr>
              <w:pStyle w:val="Heading3"/>
              <w:spacing w:before="0" w:after="0"/>
              <w:rPr>
                <w:b w:val="0"/>
                <w:color w:val="auto"/>
                <w:sz w:val="18"/>
                <w:lang w:val="en-AU"/>
              </w:rPr>
            </w:pP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B431AC" w:rsidRPr="00EA76EA" w:rsidP="00994A0F">
            <w:pPr>
              <w:pStyle w:val="Heading3"/>
              <w:spacing w:before="0" w:after="0"/>
              <w:rPr>
                <w:b w:val="0"/>
                <w:szCs w:val="20"/>
                <w:lang w:val="en-AU"/>
              </w:rPr>
            </w:pPr>
            <w:r w:rsidRPr="00EA76EA">
              <w:rPr>
                <w:bCs/>
                <w:color w:val="C00000"/>
                <w:szCs w:val="20"/>
                <w:lang w:val="en-AU"/>
              </w:rPr>
              <w:t>Wellbeing</w:t>
            </w: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B431AC"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The Wellbeing Team and sub schools have played a significant role in supporting students, staff and families. Extensive effort has been placed into expanding the Wellbeing Team, which includes a Speech Pathologist, three Clinicians, an Occupational Therapist, a Mental Health Practitioner, a Psychotherapist, an Adolescent Health Nurse, Doctors in Schools Program, Wellbeing Coordinator, and Inclusion Coordinator.</w:t>
            </w:r>
          </w:p>
          <w:p w:rsidR="00B431AC"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The Student Wellbeing Centre is well established and provides a place for students to seek support and guidance. Following a successful Wellbeing Audit we have refined the referral process. We now have a clearly defined process and students are aware of how-to self-report. Staff receive snapshots of feedback through compass informing them of the strengths and strategies to support students' wellbeing and inclusion needs. There has been a strong College-wide focus on respecting and celebrating diversity, including RUOK Day, Harmony Day, IDAHOT and Pride week, and National Sorry Day. Groups of students have been supported with social engagement programs and an African student group.  The Assistant Principal has worked closely with the Wellbeing Team and Sub-Schools, ensuring Student Support Group (SSG) meetings are conducted and Individual Learning Plans (ILPs) are established and reviewed.</w:t>
            </w:r>
          </w:p>
          <w:p w:rsidR="00B431AC" w:rsidRPr="00EA76EA" w:rsidP="00994A0F">
            <w:pPr>
              <w:pStyle w:val="Heading3"/>
              <w:spacing w:before="0" w:after="0"/>
              <w:rPr>
                <w:b w:val="0"/>
                <w:color w:val="auto"/>
                <w:sz w:val="18"/>
                <w:lang w:val="en-AU"/>
              </w:rPr>
            </w:pP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B431AC" w:rsidRPr="00EA76EA" w:rsidP="00994A0F">
            <w:pPr>
              <w:pStyle w:val="Heading3"/>
              <w:spacing w:before="0" w:after="0"/>
              <w:rPr>
                <w:b w:val="0"/>
                <w:szCs w:val="20"/>
                <w:lang w:val="en-AU"/>
              </w:rPr>
            </w:pPr>
            <w:r w:rsidRPr="00EA76EA">
              <w:rPr>
                <w:bCs/>
                <w:color w:val="C00000"/>
                <w:lang w:val="en-AU"/>
              </w:rPr>
              <w:t>Engagement</w:t>
            </w: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B431AC"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Attendance data remained a key focus for 2023 and we have worked closely with department representatives to strengthen the attendance policy and process. Sub-Schools worked closely with their Attendance Officers, and students who were identified with low attendance data were tracked, monitored, and supported.  Follow-up and support were provided by the Student Managers and the Re-engagement Officer, who worked with a core group of students that required support. For some students, the school worked closely with the Region to ensure re-engagement could occur. Regular communication with families and linking students with programs, including Operation Newstart, initiated positive change in the students' attendance and engagement. Student retention from Year 7 to Year 10 was 72.3 % which exceeds our 4 year average of 70.2%. </w:t>
            </w:r>
          </w:p>
          <w:p w:rsidR="00B431AC"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The school completion rate increased to 99.4% in 2023, well above the 'similar schools' average (96.2%). This is largely a result of increased on-site learning opportunities for VCE students (including VCE VM and VCE VET), and strengthening careers and pathways support across all year levels. These improvements also contributed to improvements in our students' pathways, with 99.3% of students who leave the school undertaking further studies or full-time employment (compared to 89.9% at similar schools).</w:t>
            </w:r>
          </w:p>
          <w:p w:rsidR="00B431AC"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2023 saw the implementation of our school-wide Positive Education Framework, which is a strengths-based program focussing on students' character strengths. The Positive Education Framework brings together school communities to develop positive, safe, supportive learning cultures. Positive Education assists schools to improve social, emotional, behaviour and academic outcomes for young people. Teachers explicitly teach accepted behaviours and social/emotional learning. Students are able to identify their Character Strengths and have engaged well with the Positive Education rewards system (known as the 'Values Shop').</w:t>
            </w:r>
          </w:p>
          <w:p w:rsidR="00B431AC" w:rsidRPr="00EA76EA" w:rsidP="00994A0F">
            <w:pPr>
              <w:pStyle w:val="Heading3"/>
              <w:spacing w:before="0" w:after="0"/>
              <w:rPr>
                <w:b w:val="0"/>
                <w:color w:val="auto"/>
                <w:sz w:val="18"/>
                <w:lang w:val="en-AU"/>
              </w:rPr>
            </w:pP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777DB2" w:rsidRPr="00EA76EA" w:rsidP="00F748EB">
            <w:pPr>
              <w:pStyle w:val="Style1"/>
              <w:spacing w:before="0"/>
              <w:jc w:val="both"/>
              <w:rPr>
                <w:szCs w:val="24"/>
                <w:lang w:val="en-AU"/>
              </w:rPr>
            </w:pPr>
            <w:r w:rsidRPr="00EA76EA">
              <w:rPr>
                <w:rFonts w:cs="Times New Roman"/>
                <w:b/>
                <w:lang w:val="en-AU"/>
              </w:rPr>
              <w:t>Other highlights from the school year</w:t>
            </w: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777DB2"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 xml:space="preserve">In 2023, the ‘FGSC Community Hub’ commenced, running programs every Friday at the school. The Hub provides a range of educational programs for culturally and linguistically diverse and refugee mothers. Other programs at the hub include citizenship classes conducted in Dari and parenting and health classes.  These and other programs are run by different external agencies such as </w:t>
            </w:r>
            <w:r w:rsidRPr="00EA76EA">
              <w:rPr>
                <w:rStyle w:val="DefaultParagraphFont"/>
                <w:b/>
                <w:bCs/>
                <w:i/>
                <w:iCs/>
                <w:color w:val="auto"/>
                <w:sz w:val="18"/>
              </w:rPr>
              <w:t xml:space="preserve">Wellsprings, Monash Health </w:t>
            </w:r>
            <w:r w:rsidRPr="00EA76EA">
              <w:rPr>
                <w:rStyle w:val="DefaultParagraphFont"/>
                <w:b w:val="0"/>
                <w:color w:val="auto"/>
                <w:sz w:val="18"/>
              </w:rPr>
              <w:t xml:space="preserve">and </w:t>
            </w:r>
            <w:r w:rsidRPr="00EA76EA">
              <w:rPr>
                <w:rStyle w:val="DefaultParagraphFont"/>
                <w:b/>
                <w:bCs/>
                <w:i/>
                <w:iCs/>
                <w:color w:val="auto"/>
                <w:sz w:val="18"/>
              </w:rPr>
              <w:t>Neighbourhood House</w:t>
            </w:r>
            <w:r w:rsidRPr="00EA76EA">
              <w:rPr>
                <w:rStyle w:val="DefaultParagraphFont"/>
                <w:b w:val="0"/>
                <w:color w:val="auto"/>
                <w:sz w:val="18"/>
              </w:rPr>
              <w:t>.</w:t>
            </w:r>
          </w:p>
          <w:p w:rsidR="00777DB2"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The school has been participating at 4Cs (Cultivating Creative Cultures with Communities) Dance Showcase at The Bunjil Place September every year for over a decade. This year, students from Afghan cultural background showcased their amazing costumes and cultural dance for the very first time and received much positive feedback from the school community.</w:t>
            </w:r>
          </w:p>
          <w:p w:rsidR="00777DB2"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Fountain Gate Tutor Learning Initiative (TLI) provides additional support for students at Year 7-12 who were not able to show a year’s growth in their learning in 2022. The TLI program runs using an in-class support tutoring model. Pre-service teachers were employed and inducted to work with TLI teachers to identify target students where they then co-developed their individual learning plans and provide reports on their progress and growth at the end of the program. Tutors plan with teachers and leaders to run the program both for small groups of 4-5 students in each class and one-to-one for individual students.</w:t>
            </w:r>
          </w:p>
          <w:p w:rsidR="00777DB2" w:rsidRPr="00EA76EA" w:rsidP="00994A0F">
            <w:pPr>
              <w:pStyle w:val="Heading3"/>
              <w:spacing w:before="0" w:after="0"/>
              <w:rPr>
                <w:rStyle w:val="DefaultParagraphFont"/>
                <w:b w:val="0"/>
                <w:color w:val="auto"/>
                <w:sz w:val="18"/>
                <w:szCs w:val="18"/>
              </w:rPr>
            </w:pP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777DB2" w:rsidRPr="00EA76EA" w:rsidP="00F748EB">
            <w:pPr>
              <w:pStyle w:val="Style1"/>
              <w:spacing w:before="0"/>
              <w:jc w:val="both"/>
              <w:rPr>
                <w:szCs w:val="24"/>
                <w:lang w:val="en-AU"/>
              </w:rPr>
            </w:pPr>
            <w:r w:rsidRPr="00EA76EA">
              <w:rPr>
                <w:rFonts w:cs="Times New Roman"/>
                <w:b/>
                <w:lang w:val="en-AU"/>
              </w:rPr>
              <w:t>Financial performance</w:t>
            </w: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tcPr>
          <w:p w:rsidR="00777DB2"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Fountain Gate Secondary College has established sound financial practices. Through careful and efficient management of financial resources this has resulted in a reasonable level of surplus to support future initiatives. Due to the severe staff shortage crisis this has resulted in surplus in our SRP and made us unable to fully expend our funding for MYLNS and TLI.  We have embarked on a recruitment drive to enhance our ES tutors to utilise our MYLNS and TLI funding to give our students the greatest opportunities to achieve.</w:t>
            </w:r>
          </w:p>
          <w:p w:rsidR="00777DB2" w:rsidRPr="00EA76EA" w:rsidP="00994A0F">
            <w:pPr>
              <w:pStyle w:val="Heading3"/>
              <w:spacing w:before="0" w:after="0"/>
              <w:rPr>
                <w:rStyle w:val="DefaultParagraphFont"/>
                <w:b w:val="0"/>
                <w:color w:val="auto"/>
                <w:sz w:val="18"/>
                <w:szCs w:val="18"/>
              </w:rPr>
            </w:pPr>
            <w:r w:rsidRPr="00EA76EA">
              <w:rPr>
                <w:rStyle w:val="DefaultParagraphFont"/>
                <w:b w:val="0"/>
                <w:color w:val="auto"/>
                <w:sz w:val="18"/>
              </w:rPr>
              <w:t>We have committed funds through our financial commitment summary on capital improvement to our Numeracy Centre, further improvements to ICT hardware and infrastructure, grounds work, ongoing maintenance of buildings and classrooms, furniture, and equipment.  In addition to SRP funding and Equity Funding the College receives Career Education Funding, MYLNS, Student Excellence, Active Schools, TLI, Mental Health Funding and VDSS.  We also receive Targeted Funding which includes TAE Grants and New Senior Secondary Certificate Preparation Supports.</w:t>
            </w:r>
          </w:p>
          <w:p w:rsidR="00777DB2" w:rsidRPr="00EA76EA" w:rsidP="00994A0F">
            <w:pPr>
              <w:pStyle w:val="Heading3"/>
              <w:spacing w:before="0" w:after="0"/>
              <w:rPr>
                <w:b w:val="0"/>
                <w:color w:val="auto"/>
                <w:sz w:val="18"/>
                <w:lang w:val="en-AU"/>
              </w:rPr>
            </w:pPr>
          </w:p>
        </w:tc>
      </w:tr>
      <w:tr w:rsidTr="00A53F4D">
        <w:tblPrEx>
          <w:tblW w:w="10774" w:type="dxa"/>
          <w:tblInd w:w="-714" w:type="dxa"/>
          <w:tblCellMar>
            <w:top w:w="115" w:type="dxa"/>
            <w:left w:w="115" w:type="dxa"/>
            <w:bottom w:w="115" w:type="dxa"/>
            <w:right w:w="115" w:type="dxa"/>
          </w:tblCellMar>
          <w:tblLook w:val="04A0"/>
        </w:tblPrEx>
        <w:trPr>
          <w:trHeight w:val="15"/>
        </w:trPr>
        <w:tc>
          <w:tcPr>
            <w:tcW w:w="10774" w:type="dxa"/>
            <w:shd w:val="clear" w:color="auto" w:fill="auto"/>
            <w:noWrap w:val="0"/>
          </w:tcPr>
          <w:p w:rsidR="00BF0096" w:rsidRPr="00EA76EA" w:rsidP="00C71E7A">
            <w:pPr>
              <w:pStyle w:val="Heading3"/>
              <w:spacing w:before="0" w:after="0"/>
              <w:rPr>
                <w:b w:val="0"/>
                <w:sz w:val="18"/>
                <w:lang w:val="en-AU"/>
              </w:rPr>
            </w:pPr>
          </w:p>
          <w:p>
            <w:pPr>
              <w:spacing w:after="218" w:line="240" w:lineRule="auto"/>
              <w:jc w:val="center"/>
              <w:rPr>
                <w:rFonts w:eastAsia="Arial"/>
                <w:sz w:val="22"/>
                <w:szCs w:val="22"/>
              </w:rPr>
            </w:pPr>
            <w:r>
              <w:rPr>
                <w:rFonts w:eastAsia="Arial"/>
                <w:b/>
                <w:bCs/>
                <w:sz w:val="22"/>
                <w:szCs w:val="22"/>
              </w:rPr>
              <w:t xml:space="preserve">For more detailed information regarding our school please visit our website at </w:t>
            </w:r>
            <w:r>
              <w:rPr>
                <w:rFonts w:eastAsia="Arial"/>
                <w:b/>
                <w:bCs/>
                <w:sz w:val="22"/>
                <w:szCs w:val="22"/>
              </w:rPr>
              <w:fldChar w:fldCharType="begin"/>
            </w:r>
            <w:r>
              <w:rPr>
                <w:rFonts w:eastAsia="Arial"/>
                <w:b/>
                <w:bCs/>
                <w:sz w:val="22"/>
                <w:szCs w:val="22"/>
              </w:rPr>
              <w:instrText xml:space="preserve"> HYPERLINK "http://www.fountaingatesc.vic.edu.au" </w:instrText>
            </w:r>
            <w:r>
              <w:rPr>
                <w:rFonts w:eastAsia="Arial"/>
                <w:b/>
                <w:bCs/>
                <w:sz w:val="22"/>
                <w:szCs w:val="22"/>
              </w:rPr>
              <w:fldChar w:fldCharType="separate"/>
            </w:r>
            <w:r>
              <w:rPr>
                <w:rFonts w:eastAsia="Arial"/>
                <w:b/>
                <w:bCs/>
                <w:color w:val="0000EE"/>
                <w:sz w:val="22"/>
                <w:szCs w:val="22"/>
                <w:u w:val="single"/>
              </w:rPr>
              <w:t>http://www.fountaingatesc.vic.edu.au</w:t>
            </w:r>
            <w:r>
              <w:rPr>
                <w:rFonts w:eastAsia="Arial"/>
                <w:b/>
                <w:bCs/>
                <w:color w:val="0000EE"/>
                <w:sz w:val="22"/>
                <w:szCs w:val="22"/>
                <w:u w:val="single"/>
              </w:rPr>
              <w:fldChar w:fldCharType="end"/>
            </w:r>
          </w:p>
          <w:p/>
        </w:tc>
      </w:tr>
    </w:tbl>
    <w:p w:rsidR="005E684F" w:rsidRPr="00EA76EA" w:rsidP="00F73E5D">
      <w:pPr>
        <w:ind w:right="-632"/>
        <w:rPr>
          <w:b/>
          <w:color w:val="AF272F"/>
          <w:sz w:val="36"/>
          <w:szCs w:val="44"/>
          <w:lang w:val="en-AU"/>
        </w:rPr>
        <w:sectPr w:rsidSect="0095453E">
          <w:headerReference w:type="default" r:id="rId18"/>
          <w:footerReference w:type="default" r:id="rId19"/>
          <w:headerReference w:type="first" r:id="rId20"/>
          <w:pgSz w:w="11906" w:h="16838" w:code="9"/>
          <w:pgMar w:top="709" w:right="1134" w:bottom="1701" w:left="1134" w:header="0" w:footer="709" w:gutter="0"/>
          <w:cols w:space="397"/>
          <w:docGrid w:linePitch="360"/>
        </w:sectPr>
      </w:pPr>
    </w:p>
    <w:p w:rsidR="009E6D61" w:rsidP="00B637FF">
      <w:pPr>
        <w:pStyle w:val="Title"/>
      </w:pPr>
      <w:r>
        <w:t>Performance Summary</w:t>
      </w:r>
    </w:p>
    <w:p w:rsidR="00707E7C" w:rsidRPr="00707E7C" w:rsidP="00707E7C">
      <w:pPr>
        <w:pStyle w:val="ESBodyText0"/>
      </w:pPr>
      <w:r w:rsidRPr="00707E7C">
        <w:t>The Performance Summary for government schools provides an overview of how this school is contributing to the objectives of the Education State and how it compares to other Victorian government schools.</w:t>
      </w:r>
    </w:p>
    <w:p w:rsidR="00707E7C" w:rsidRPr="00707E7C" w:rsidP="00707E7C">
      <w:pPr>
        <w:pStyle w:val="ESBodyText0"/>
      </w:pPr>
      <w:r w:rsidRPr="00707E7C">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sidR="00707E7C" w:rsidP="00707E7C">
      <w:pPr>
        <w:pStyle w:val="ESBodyText0"/>
      </w:pPr>
      <w:r w:rsidRPr="00707E7C">
        <w:t>Refer to the ‘How to read the Annual Report’ section for help on how to interpret this report.</w:t>
      </w:r>
    </w:p>
    <w:p w:rsidR="009E6D61" w:rsidP="00B637FF">
      <w:pPr>
        <w:pStyle w:val="Style10"/>
      </w:pPr>
      <w:r>
        <w:t>SCHOOL PROFILE</w:t>
      </w:r>
    </w:p>
    <w:p w:rsidR="009E6D61" w:rsidP="00B637FF">
      <w:pPr>
        <w:pStyle w:val="ESHeading30"/>
      </w:pPr>
      <w:r>
        <w:t>Enrolment Profile</w:t>
      </w:r>
    </w:p>
    <w:p w:rsidR="009E6D61">
      <w:pPr>
        <w:pStyle w:val="ESBodyText0"/>
      </w:pPr>
      <w:r>
        <w:t xml:space="preserve">A total of </w:t>
      </w:r>
      <w:r>
        <w:t>1375</w:t>
      </w:r>
      <w:r>
        <w:t xml:space="preserve"> students were enrolled at this school in </w:t>
      </w:r>
      <w:r>
        <w:t>2023</w:t>
      </w:r>
      <w:r>
        <w:t xml:space="preserve">, </w:t>
      </w:r>
      <w:r>
        <w:t xml:space="preserve"> 672</w:t>
      </w:r>
      <w:r>
        <w:t xml:space="preserve"> female and </w:t>
      </w:r>
      <w:r>
        <w:t xml:space="preserve"> 703</w:t>
      </w:r>
      <w:r>
        <w:t xml:space="preserve"> male.</w:t>
      </w:r>
    </w:p>
    <w:p w:rsidR="009E6D61">
      <w:pPr>
        <w:pStyle w:val="ESBodyText0"/>
      </w:pPr>
      <w:r>
        <w:t>47</w:t>
      </w:r>
      <w:r w:rsidR="007567CF">
        <w:t xml:space="preserve"> percent of students had English as an additional language and </w:t>
      </w:r>
      <w:r>
        <w:t>1</w:t>
      </w:r>
      <w:r w:rsidR="007567CF">
        <w:t xml:space="preserve"> percent were Aboriginal or Torres Strait Islander.</w:t>
      </w:r>
    </w:p>
    <w:p w:rsidR="009E6D61" w:rsidRPr="001C6AF2" w:rsidP="00742BDA">
      <w:pPr>
        <w:pStyle w:val="ESHeading30"/>
        <w:spacing w:before="360"/>
        <w:rPr>
          <w:color w:val="AF272F"/>
        </w:rPr>
      </w:pPr>
      <w:r w:rsidRPr="001C6AF2">
        <w:t>Overall Socio-Economic Profile</w:t>
      </w:r>
    </w:p>
    <w:p w:rsidR="009E6D61" w:rsidRPr="001C6AF2">
      <w:pPr>
        <w:pStyle w:val="ESBodyText0"/>
      </w:pPr>
      <w:r w:rsidRPr="001C6AF2">
        <w:t>The overall school’s socio-economic profile is based on the school's Student Family Occupation and Education index (SFOE).</w:t>
      </w:r>
    </w:p>
    <w:p w:rsidR="009E6D61" w:rsidRPr="001C6AF2">
      <w:pPr>
        <w:pStyle w:val="ESBodyText0"/>
      </w:pPr>
      <w:r>
        <w:t>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w:t>
      </w:r>
    </w:p>
    <w:p w:rsidR="009E6D61" w:rsidRPr="00B637FF">
      <w:pPr>
        <w:pStyle w:val="ESBodyText0"/>
      </w:pPr>
      <w:r w:rsidRPr="001C6AF2">
        <w:t xml:space="preserve">This school’s </w:t>
      </w:r>
      <w:r w:rsidR="006950FE">
        <w:t>SFOE</w:t>
      </w:r>
      <w:r w:rsidRPr="001C6AF2">
        <w:t xml:space="preserve"> band value is: </w:t>
      </w:r>
      <w:r>
        <w:t>High</w:t>
      </w:r>
    </w:p>
    <w:p w:rsidR="009E6D61" w:rsidRPr="004777FF" w:rsidP="00742BDA">
      <w:pPr>
        <w:pStyle w:val="ESHeading30"/>
        <w:spacing w:before="360"/>
        <w:rPr>
          <w:color w:val="auto"/>
        </w:rPr>
      </w:pPr>
      <w:r>
        <w:t>Parent Satisfaction Summary</w:t>
      </w:r>
    </w:p>
    <w:p w:rsidR="00992F6F" w:rsidP="00992F6F">
      <w:pPr>
        <w:pStyle w:val="ESBodyText0"/>
      </w:pPr>
      <w:bookmarkStart w:id="0" w:name="_Hlk156969784"/>
      <w:r w:rsidRPr="00992F6F">
        <w:t xml:space="preserve">The percentage endorsement by parents on </w:t>
      </w:r>
      <w:r w:rsidR="008D08E7">
        <w:t xml:space="preserve">their </w:t>
      </w:r>
      <w:r w:rsidRPr="00992F6F">
        <w:t>General School Satisfaction, as reported in the annual Parent/Caregiver/Guardian Opinion Survey.</w:t>
      </w:r>
    </w:p>
    <w:p w:rsidR="009E6D61" w:rsidP="00DF5E8D">
      <w:pPr>
        <w:pStyle w:val="ESBodyText0"/>
        <w:spacing w:after="360"/>
      </w:pPr>
      <w:bookmarkEnd w:id="0"/>
      <w:r>
        <w:rPr>
          <w:noProof/>
        </w:rPr>
        <w:drawing>
          <wp:anchor distT="0" distB="0" distL="114300" distR="114300" simplePos="0" relativeHeight="251669504" behindDoc="0" locked="0" layoutInCell="1" allowOverlap="1">
            <wp:simplePos x="0" y="0"/>
            <wp:positionH relativeFrom="column">
              <wp:posOffset>3394922</wp:posOffset>
            </wp:positionH>
            <wp:positionV relativeFrom="paragraph">
              <wp:posOffset>532552</wp:posOffset>
            </wp:positionV>
            <wp:extent cx="3476625" cy="1443567"/>
            <wp:effectExtent l="0" t="0" r="0" b="444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DF5E8D">
        <w:t>P</w:t>
      </w:r>
      <w:r w:rsidR="007567CF">
        <w:t>ercent endorsement indicates the percent of positive responses (agree or strongly agree) from parents who responded to the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1139"/>
      </w:tblGrid>
      <w:tr w:rsidTr="00301A6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567"/>
        </w:trPr>
        <w:tc>
          <w:tcPr>
            <w:tcW w:w="3256" w:type="dxa"/>
            <w:vAlign w:val="bottom"/>
          </w:tcPr>
          <w:p w:rsidR="00DF5E8D" w:rsidRPr="00DF5E8D">
            <w:pPr>
              <w:pStyle w:val="ESBodyText0"/>
              <w:rPr>
                <w:b/>
                <w:bCs/>
              </w:rPr>
            </w:pPr>
            <w:r w:rsidRPr="00DF5E8D">
              <w:rPr>
                <w:b/>
                <w:bCs/>
              </w:rPr>
              <w:t>Parent Satisfaction</w:t>
            </w:r>
          </w:p>
        </w:tc>
        <w:tc>
          <w:tcPr>
            <w:tcW w:w="1139" w:type="dxa"/>
            <w:vAlign w:val="bottom"/>
          </w:tcPr>
          <w:p w:rsidR="00DF5E8D" w:rsidRPr="00E346A0" w:rsidP="00DF5E8D">
            <w:pPr>
              <w:pStyle w:val="ESBodyText0"/>
              <w:jc w:val="center"/>
              <w:rPr>
                <w:b/>
                <w:bCs/>
              </w:rPr>
            </w:pPr>
            <w:r w:rsidRPr="001B1C12">
              <w:t>Latest year (202</w:t>
            </w:r>
            <w:r w:rsidR="00992F6F">
              <w:t>3</w:t>
            </w:r>
            <w:r w:rsidRPr="001B1C12">
              <w:t>)</w:t>
            </w:r>
          </w:p>
        </w:tc>
      </w:tr>
      <w:tr w:rsidTr="00301A6C">
        <w:tblPrEx>
          <w:tblW w:w="0" w:type="auto"/>
          <w:tblLook w:val="04A0"/>
        </w:tblPrEx>
        <w:trPr>
          <w:trHeight w:hRule="exact" w:val="680"/>
        </w:trPr>
        <w:tc>
          <w:tcPr>
            <w:tcW w:w="3256" w:type="dxa"/>
            <w:tcMar>
              <w:top w:w="57" w:type="dxa"/>
            </w:tcMar>
            <w:vAlign w:val="center"/>
          </w:tcPr>
          <w:p w:rsidR="00DF5E8D">
            <w:pPr>
              <w:pStyle w:val="ESBodyText0"/>
            </w:pPr>
            <w:r>
              <w:t>School percent</w:t>
            </w:r>
            <w:r w:rsidR="00992F6F">
              <w:t>age</w:t>
            </w:r>
            <w:r>
              <w:t xml:space="preserve"> endorsement:</w:t>
            </w:r>
          </w:p>
        </w:tc>
        <w:tc>
          <w:tcPr>
            <w:tcW w:w="1139" w:type="dxa"/>
            <w:tcBorders>
              <w:bottom w:val="single" w:sz="4" w:space="0" w:color="FFFFFF" w:themeColor="background1"/>
            </w:tcBorders>
            <w:shd w:val="clear" w:color="auto" w:fill="FFC000"/>
            <w:tcMar>
              <w:top w:w="57" w:type="dxa"/>
            </w:tcMar>
            <w:vAlign w:val="center"/>
          </w:tcPr>
          <w:p w:rsidR="00DF5E8D" w:rsidP="00DF5E8D">
            <w:pPr>
              <w:pStyle w:val="ESBodyText0"/>
              <w:jc w:val="center"/>
            </w:pPr>
            <w:r>
              <w:t>58.2%</w:t>
            </w:r>
          </w:p>
        </w:tc>
      </w:tr>
      <w:tr w:rsidTr="00301A6C">
        <w:tblPrEx>
          <w:tblW w:w="0" w:type="auto"/>
          <w:tblLook w:val="04A0"/>
        </w:tblPrEx>
        <w:trPr>
          <w:trHeight w:hRule="exact" w:val="680"/>
        </w:trPr>
        <w:tc>
          <w:tcPr>
            <w:tcW w:w="3256" w:type="dxa"/>
            <w:tcMar>
              <w:top w:w="57" w:type="dxa"/>
            </w:tcMar>
            <w:vAlign w:val="center"/>
          </w:tcPr>
          <w:p w:rsidR="00DF5E8D">
            <w:pPr>
              <w:pStyle w:val="ESBodyText0"/>
            </w:pPr>
            <w:r>
              <w:t>State average</w:t>
            </w:r>
            <w:r w:rsidR="00DB021B">
              <w:t xml:space="preserve"> (secondary schools)</w:t>
            </w:r>
            <w:r>
              <w:t>:</w:t>
            </w:r>
          </w:p>
        </w:tc>
        <w:tc>
          <w:tcPr>
            <w:tcW w:w="1139" w:type="dxa"/>
            <w:tcBorders>
              <w:top w:val="single" w:sz="4" w:space="0" w:color="FFFFFF" w:themeColor="background1"/>
            </w:tcBorders>
            <w:shd w:val="clear" w:color="auto" w:fill="A6A6A6" w:themeFill="background1" w:themeFillShade="A6"/>
            <w:tcMar>
              <w:top w:w="57" w:type="dxa"/>
            </w:tcMar>
            <w:vAlign w:val="center"/>
          </w:tcPr>
          <w:p w:rsidR="00DF5E8D" w:rsidP="00DF5E8D">
            <w:pPr>
              <w:pStyle w:val="ESBodyText0"/>
              <w:jc w:val="center"/>
            </w:pPr>
            <w:r>
              <w:t>73.1%</w:t>
            </w:r>
          </w:p>
        </w:tc>
      </w:tr>
    </w:tbl>
    <w:p w:rsidR="00001860" w:rsidP="00B55D76">
      <w:pPr>
        <w:pStyle w:val="ESBodyText0"/>
        <w:spacing w:after="0" w:line="240" w:lineRule="auto"/>
      </w:pPr>
    </w:p>
    <w:p w:rsidR="009E6D61" w:rsidRPr="00742BDA" w:rsidP="00B637FF">
      <w:pPr>
        <w:pStyle w:val="ESHeading30"/>
        <w:rPr>
          <w:color w:val="auto"/>
        </w:rPr>
      </w:pPr>
      <w:r>
        <w:t>School Staff Survey</w:t>
      </w:r>
    </w:p>
    <w:p w:rsidR="009E6D61">
      <w:pPr>
        <w:pStyle w:val="ESBodyText0"/>
      </w:pPr>
      <w:r>
        <w:t>The percent</w:t>
      </w:r>
      <w:r w:rsidR="00992F6F">
        <w:t>age</w:t>
      </w:r>
      <w:r>
        <w:t xml:space="preserve"> endorsement by staff on School Climate, as reported in the annual School Staff Survey.</w:t>
      </w:r>
    </w:p>
    <w:p w:rsidR="009E6D61">
      <w:pPr>
        <w:pStyle w:val="ESBodyText0"/>
      </w:pPr>
      <w:r>
        <w:t>Percent</w:t>
      </w:r>
      <w:r w:rsidR="00992F6F">
        <w:t>age</w:t>
      </w:r>
      <w:r>
        <w:t xml:space="preserve"> endorsement indicates the percent of positive responses (agree or strongly agree) from staff who responded to the survey.</w:t>
      </w:r>
    </w:p>
    <w:p w:rsidR="009E6D61" w:rsidP="00DF5E8D">
      <w:pPr>
        <w:pStyle w:val="ESBodyText0"/>
        <w:spacing w:after="360"/>
      </w:pPr>
      <w:r>
        <w:rPr>
          <w:noProof/>
        </w:rPr>
        <w:drawing>
          <wp:anchor distT="0" distB="0" distL="114300" distR="114300" simplePos="0" relativeHeight="251668480" behindDoc="0" locked="0" layoutInCell="1" allowOverlap="1">
            <wp:simplePos x="0" y="0"/>
            <wp:positionH relativeFrom="column">
              <wp:posOffset>3361055</wp:posOffset>
            </wp:positionH>
            <wp:positionV relativeFrom="paragraph">
              <wp:posOffset>506518</wp:posOffset>
            </wp:positionV>
            <wp:extent cx="3521710" cy="1468967"/>
            <wp:effectExtent l="0" t="0" r="2540" b="0"/>
            <wp:wrapNone/>
            <wp:docPr id="8303589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7567CF">
        <w:t>Data is suppressed for schools with three or less respondents to the survey for confidentiality reasons.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1139"/>
      </w:tblGrid>
      <w:tr w:rsidTr="00301A6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567"/>
        </w:trPr>
        <w:tc>
          <w:tcPr>
            <w:tcW w:w="3256" w:type="dxa"/>
            <w:vAlign w:val="bottom"/>
          </w:tcPr>
          <w:p w:rsidR="00DF5E8D" w:rsidRPr="00DF5E8D" w:rsidP="00BA1967">
            <w:pPr>
              <w:pStyle w:val="ESBodyText0"/>
              <w:rPr>
                <w:b/>
                <w:bCs/>
              </w:rPr>
            </w:pPr>
            <w:r>
              <w:rPr>
                <w:b/>
                <w:bCs/>
              </w:rPr>
              <w:t>School Climate</w:t>
            </w:r>
          </w:p>
        </w:tc>
        <w:tc>
          <w:tcPr>
            <w:tcW w:w="1139" w:type="dxa"/>
          </w:tcPr>
          <w:p w:rsidR="00DF5E8D" w:rsidRPr="00E346A0" w:rsidP="00BA1967">
            <w:pPr>
              <w:pStyle w:val="ESBodyText0"/>
              <w:jc w:val="center"/>
              <w:rPr>
                <w:b/>
                <w:bCs/>
              </w:rPr>
            </w:pPr>
            <w:r w:rsidRPr="001B1C12">
              <w:t>Latest year (202</w:t>
            </w:r>
            <w:r w:rsidR="00992F6F">
              <w:t>3</w:t>
            </w:r>
            <w:r w:rsidRPr="001B1C12">
              <w:t>)</w:t>
            </w:r>
          </w:p>
        </w:tc>
      </w:tr>
      <w:tr w:rsidTr="00301A6C">
        <w:tblPrEx>
          <w:tblW w:w="0" w:type="auto"/>
          <w:tblLook w:val="04A0"/>
        </w:tblPrEx>
        <w:trPr>
          <w:trHeight w:hRule="exact" w:val="680"/>
        </w:trPr>
        <w:tc>
          <w:tcPr>
            <w:tcW w:w="3256" w:type="dxa"/>
            <w:tcMar>
              <w:top w:w="57" w:type="dxa"/>
            </w:tcMar>
            <w:vAlign w:val="center"/>
          </w:tcPr>
          <w:p w:rsidR="00DF5E8D" w:rsidP="00BA1967">
            <w:pPr>
              <w:pStyle w:val="ESBodyText0"/>
            </w:pPr>
            <w:r>
              <w:t>School percent</w:t>
            </w:r>
            <w:r w:rsidR="00992F6F">
              <w:t>age</w:t>
            </w:r>
            <w:r>
              <w:t xml:space="preserve"> endorsement:</w:t>
            </w:r>
          </w:p>
        </w:tc>
        <w:tc>
          <w:tcPr>
            <w:tcW w:w="1139" w:type="dxa"/>
            <w:tcBorders>
              <w:bottom w:val="single" w:sz="4" w:space="0" w:color="FFFFFF" w:themeColor="background1"/>
            </w:tcBorders>
            <w:shd w:val="clear" w:color="auto" w:fill="FFC000"/>
            <w:tcMar>
              <w:top w:w="57" w:type="dxa"/>
            </w:tcMar>
            <w:vAlign w:val="center"/>
          </w:tcPr>
          <w:p w:rsidR="00DF5E8D" w:rsidP="00BA1967">
            <w:pPr>
              <w:pStyle w:val="ESBodyText0"/>
              <w:jc w:val="center"/>
            </w:pPr>
            <w:r>
              <w:t>38.9%</w:t>
            </w:r>
          </w:p>
        </w:tc>
      </w:tr>
      <w:tr w:rsidTr="00301A6C">
        <w:tblPrEx>
          <w:tblW w:w="0" w:type="auto"/>
          <w:tblLook w:val="04A0"/>
        </w:tblPrEx>
        <w:trPr>
          <w:trHeight w:hRule="exact" w:val="680"/>
        </w:trPr>
        <w:tc>
          <w:tcPr>
            <w:tcW w:w="3256" w:type="dxa"/>
            <w:tcMar>
              <w:top w:w="57" w:type="dxa"/>
            </w:tcMar>
            <w:vAlign w:val="center"/>
          </w:tcPr>
          <w:p w:rsidR="00DF5E8D" w:rsidP="00BA1967">
            <w:pPr>
              <w:pStyle w:val="ESBodyText0"/>
            </w:pPr>
            <w:r>
              <w:t>State average</w:t>
            </w:r>
            <w:r w:rsidR="00DB021B">
              <w:t xml:space="preserve"> (secondary schools)</w:t>
            </w:r>
            <w:r>
              <w:t>:</w:t>
            </w:r>
          </w:p>
        </w:tc>
        <w:tc>
          <w:tcPr>
            <w:tcW w:w="1139" w:type="dxa"/>
            <w:tcBorders>
              <w:top w:val="single" w:sz="4" w:space="0" w:color="FFFFFF" w:themeColor="background1"/>
            </w:tcBorders>
            <w:shd w:val="clear" w:color="auto" w:fill="A6A6A6" w:themeFill="background1" w:themeFillShade="A6"/>
            <w:tcMar>
              <w:top w:w="57" w:type="dxa"/>
            </w:tcMar>
            <w:vAlign w:val="center"/>
          </w:tcPr>
          <w:p w:rsidR="00DF5E8D" w:rsidP="00BA1967">
            <w:pPr>
              <w:pStyle w:val="ESBodyText0"/>
              <w:jc w:val="center"/>
            </w:pPr>
            <w:r>
              <w:t>57.2%</w:t>
            </w:r>
          </w:p>
        </w:tc>
      </w:tr>
    </w:tbl>
    <w:p w:rsidR="00DF5E8D">
      <w:pPr>
        <w:pStyle w:val="ESBodyText0"/>
        <w:spacing w:after="240"/>
      </w:pPr>
    </w:p>
    <w:p w:rsidR="00742BDA" w:rsidP="00742BDA">
      <w:pPr>
        <w:pStyle w:val="ESBodyText0"/>
        <w:spacing w:after="0" w:line="240" w:lineRule="auto"/>
      </w:pPr>
    </w:p>
    <w:p w:rsidR="009E6D61" w:rsidP="00B637FF">
      <w:pPr>
        <w:pStyle w:val="Style10"/>
      </w:pPr>
      <w:r>
        <w:t>LEARNING</w:t>
      </w:r>
    </w:p>
    <w:p w:rsidR="004777FF" w:rsidP="00874585">
      <w:pPr>
        <w:pStyle w:val="ESBodyText0"/>
        <w:spacing w:before="240" w:line="240" w:lineRule="auto"/>
        <w:ind w:left="567" w:hanging="567"/>
        <w:rPr>
          <w:b/>
          <w:i/>
        </w:rPr>
      </w:pPr>
      <w:r>
        <w:rPr>
          <w:b/>
          <w:i/>
        </w:rPr>
        <w:t>Key:</w:t>
      </w:r>
      <w:r>
        <w:rPr>
          <w:b/>
          <w:i/>
        </w:rPr>
        <w:tab/>
      </w:r>
      <w:r w:rsidR="000B5315">
        <w:rPr>
          <w:b/>
          <w:i/>
        </w:rPr>
        <w:t>‘</w:t>
      </w:r>
      <w:r>
        <w:rPr>
          <w:b/>
          <w:i/>
        </w:rPr>
        <w:t>Similar Schools</w:t>
      </w:r>
      <w:r w:rsidR="000B5315">
        <w:rPr>
          <w:b/>
          <w:i/>
        </w:rPr>
        <w:t>’</w:t>
      </w:r>
      <w:r>
        <w:rPr>
          <w:b/>
          <w:i/>
        </w:rPr>
        <w:t xml:space="preserve"> are a group of Victorian government schools that are like this school, </w:t>
      </w:r>
      <w:r>
        <w:rPr>
          <w:b/>
          <w:i/>
        </w:rPr>
        <w:t>taking into account</w:t>
      </w:r>
      <w:r>
        <w:rPr>
          <w:b/>
          <w:i/>
        </w:rPr>
        <w:t xml:space="preserve"> the school’s socioeconomic background of students, the number of non-English speaking students and the size and location of the school.</w:t>
      </w:r>
    </w:p>
    <w:p w:rsidR="009E6D61" w:rsidRPr="00EB445D" w:rsidP="00874585">
      <w:pPr>
        <w:pStyle w:val="ESHeading30"/>
        <w:rPr>
          <w:color w:val="auto"/>
        </w:rPr>
      </w:pPr>
      <w:r>
        <w:t>Teacher Judgement of student achievement</w:t>
      </w:r>
      <w:r w:rsidRPr="00E346A0" w:rsidR="00E346A0">
        <w:rPr>
          <w:noProof/>
        </w:rPr>
        <w:t xml:space="preserve"> </w:t>
      </w:r>
      <w:r w:rsidR="00992F6F">
        <w:rPr>
          <w:noProof/>
        </w:rPr>
        <w:t>against the Victorian Curriculum</w:t>
      </w:r>
    </w:p>
    <w:p w:rsidR="00E5145E" w:rsidP="006D6BB2">
      <w:pPr>
        <w:pStyle w:val="ESBodyText0"/>
      </w:pPr>
      <w:r>
        <w:t xml:space="preserve">Percentage of students working </w:t>
      </w:r>
      <w:r>
        <w:t>at</w:t>
      </w:r>
      <w:r>
        <w:t xml:space="preserve"> or above age expected standards in</w:t>
      </w:r>
      <w:r w:rsidR="006D6BB2">
        <w:t xml:space="preserve"> English and Mathematics.</w:t>
      </w:r>
    </w:p>
    <w:p w:rsidR="00E346A0" w:rsidP="006D6BB2">
      <w:pPr>
        <w:pStyle w:val="ESBodyText0"/>
      </w:pPr>
    </w:p>
    <w:p w:rsidR="00E346A0" w:rsidP="0055455C">
      <w:pPr>
        <w:pStyle w:val="ESBodyText0"/>
        <w:spacing w:after="0" w:line="240" w:lineRule="auto"/>
      </w:pPr>
      <w:r>
        <w:rPr>
          <w:noProof/>
        </w:rPr>
        <w:drawing>
          <wp:anchor distT="0" distB="0" distL="114300" distR="114300" simplePos="0" relativeHeight="251667456" behindDoc="0" locked="0" layoutInCell="1" allowOverlap="1">
            <wp:simplePos x="0" y="0"/>
            <wp:positionH relativeFrom="margin">
              <wp:posOffset>3264535</wp:posOffset>
            </wp:positionH>
            <wp:positionV relativeFrom="paragraph">
              <wp:posOffset>123190</wp:posOffset>
            </wp:positionV>
            <wp:extent cx="3724275" cy="1905000"/>
            <wp:effectExtent l="0" t="0" r="0" b="0"/>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1139"/>
      </w:tblGrid>
      <w:tr w:rsidTr="00301A6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vAlign w:val="bottom"/>
          </w:tcPr>
          <w:p w:rsidR="00E346A0" w:rsidP="00BA1967">
            <w:pPr>
              <w:spacing w:after="0" w:line="240" w:lineRule="auto"/>
              <w:rPr>
                <w:rFonts w:eastAsia="Times New Roman"/>
                <w:b/>
                <w:bCs/>
                <w:color w:val="000000"/>
                <w:lang w:val="en-AU" w:eastAsia="en-AU"/>
              </w:rPr>
            </w:pPr>
            <w:r w:rsidRPr="000E2D23">
              <w:rPr>
                <w:rFonts w:eastAsia="Times New Roman"/>
                <w:b/>
                <w:bCs/>
                <w:color w:val="000000"/>
                <w:lang w:val="en-AU" w:eastAsia="en-AU"/>
              </w:rPr>
              <w:t>English</w:t>
            </w:r>
          </w:p>
          <w:p w:rsidR="00E346A0" w:rsidP="00BA1967">
            <w:pPr>
              <w:pStyle w:val="ESBodyText0"/>
            </w:pPr>
            <w:r w:rsidRPr="00DB36EC">
              <w:rPr>
                <w:rFonts w:eastAsia="Times New Roman"/>
                <w:b/>
                <w:bCs/>
                <w:lang w:val="en-AU" w:eastAsia="en-AU"/>
              </w:rPr>
              <w:t>Year</w:t>
            </w:r>
            <w:r>
              <w:rPr>
                <w:rFonts w:eastAsia="Times New Roman"/>
                <w:b/>
                <w:bCs/>
                <w:lang w:val="en-AU" w:eastAsia="en-AU"/>
              </w:rPr>
              <w:t>s</w:t>
            </w:r>
            <w:r w:rsidRPr="00DB36EC">
              <w:rPr>
                <w:rFonts w:eastAsia="Times New Roman"/>
                <w:b/>
                <w:bCs/>
                <w:lang w:val="en-AU" w:eastAsia="en-AU"/>
              </w:rPr>
              <w:t xml:space="preserve"> </w:t>
            </w:r>
            <w:r w:rsidR="00E6201A">
              <w:rPr>
                <w:rFonts w:eastAsia="Times New Roman"/>
                <w:b/>
                <w:bCs/>
                <w:lang w:val="en-AU" w:eastAsia="en-AU"/>
              </w:rPr>
              <w:t>7 to 10</w:t>
            </w:r>
          </w:p>
        </w:tc>
        <w:tc>
          <w:tcPr>
            <w:tcW w:w="1139" w:type="dxa"/>
            <w:vAlign w:val="bottom"/>
          </w:tcPr>
          <w:p w:rsidR="00E346A0" w:rsidRPr="00E346A0" w:rsidP="00BA1967">
            <w:pPr>
              <w:pStyle w:val="ESBodyText0"/>
              <w:jc w:val="center"/>
              <w:rPr>
                <w:b/>
                <w:bCs/>
              </w:rPr>
            </w:pPr>
            <w:r w:rsidRPr="001B1C12">
              <w:t>Latest year (202</w:t>
            </w:r>
            <w:r w:rsidR="00992F6F">
              <w:t>3</w:t>
            </w:r>
            <w:r w:rsidRPr="001B1C12">
              <w:t>)</w:t>
            </w:r>
          </w:p>
        </w:tc>
      </w:tr>
      <w:tr w:rsidTr="00301A6C">
        <w:tblPrEx>
          <w:tblW w:w="0" w:type="auto"/>
          <w:tblLook w:val="04A0"/>
        </w:tblPrEx>
        <w:trPr>
          <w:trHeight w:hRule="exact" w:val="567"/>
        </w:trPr>
        <w:tc>
          <w:tcPr>
            <w:tcW w:w="3681" w:type="dxa"/>
            <w:tcMar>
              <w:top w:w="57" w:type="dxa"/>
            </w:tcMar>
            <w:vAlign w:val="center"/>
          </w:tcPr>
          <w:p w:rsidR="00E346A0" w:rsidP="00BA1967">
            <w:pPr>
              <w:pStyle w:val="ESBodyText0"/>
            </w:pPr>
            <w:r>
              <w:t>School percent</w:t>
            </w:r>
            <w:r w:rsidR="00992F6F">
              <w:t>age</w:t>
            </w:r>
            <w:r>
              <w:t xml:space="preserve"> of students at or above age expected standards:</w:t>
            </w:r>
          </w:p>
        </w:tc>
        <w:tc>
          <w:tcPr>
            <w:tcW w:w="1139" w:type="dxa"/>
            <w:tcBorders>
              <w:bottom w:val="single" w:sz="4" w:space="0" w:color="FFFFFF" w:themeColor="background1"/>
            </w:tcBorders>
            <w:shd w:val="clear" w:color="auto" w:fill="FFC000"/>
            <w:tcMar>
              <w:top w:w="57" w:type="dxa"/>
            </w:tcMar>
            <w:vAlign w:val="center"/>
          </w:tcPr>
          <w:p w:rsidR="00E346A0" w:rsidP="00BA1967">
            <w:pPr>
              <w:pStyle w:val="ESBodyText0"/>
              <w:jc w:val="center"/>
            </w:pPr>
            <w:r>
              <w:t>75.7%</w:t>
            </w:r>
          </w:p>
        </w:tc>
      </w:tr>
      <w:tr w:rsidTr="00301A6C">
        <w:tblPrEx>
          <w:tblW w:w="0" w:type="auto"/>
          <w:tblLook w:val="04A0"/>
        </w:tblPrEx>
        <w:trPr>
          <w:trHeight w:hRule="exact" w:val="567"/>
        </w:trPr>
        <w:tc>
          <w:tcPr>
            <w:tcW w:w="3681" w:type="dxa"/>
            <w:tcMar>
              <w:top w:w="57" w:type="dxa"/>
            </w:tcMar>
            <w:vAlign w:val="center"/>
          </w:tcPr>
          <w:p w:rsidR="00E346A0" w:rsidP="00BA1967">
            <w:pPr>
              <w:pStyle w:val="ESBodyText0"/>
            </w:pPr>
            <w:r>
              <w:t>Similar Schools average:</w:t>
            </w:r>
          </w:p>
        </w:tc>
        <w:tc>
          <w:tcPr>
            <w:tcW w:w="1139" w:type="dxa"/>
            <w:tcBorders>
              <w:top w:val="single" w:sz="4" w:space="0" w:color="FFFFFF" w:themeColor="background1"/>
              <w:bottom w:val="single" w:sz="4" w:space="0" w:color="FFFFFF" w:themeColor="background1"/>
            </w:tcBorders>
            <w:shd w:val="clear" w:color="auto" w:fill="7030A0"/>
            <w:tcMar>
              <w:top w:w="57" w:type="dxa"/>
            </w:tcMar>
            <w:vAlign w:val="center"/>
          </w:tcPr>
          <w:p w:rsidR="00E346A0" w:rsidRPr="00E346A0" w:rsidP="00BA1967">
            <w:pPr>
              <w:pStyle w:val="ESBodyText0"/>
              <w:jc w:val="center"/>
              <w:rPr>
                <w:color w:val="FFFFFF" w:themeColor="background1"/>
              </w:rPr>
            </w:pPr>
            <w:r>
              <w:rPr>
                <w:color w:val="FFFFFF" w:themeColor="background1"/>
              </w:rPr>
              <w:t>67.1%</w:t>
            </w:r>
          </w:p>
        </w:tc>
      </w:tr>
      <w:tr w:rsidTr="00301A6C">
        <w:tblPrEx>
          <w:tblW w:w="0" w:type="auto"/>
          <w:tblLook w:val="04A0"/>
        </w:tblPrEx>
        <w:trPr>
          <w:trHeight w:hRule="exact" w:val="567"/>
        </w:trPr>
        <w:tc>
          <w:tcPr>
            <w:tcW w:w="3681" w:type="dxa"/>
            <w:tcMar>
              <w:top w:w="57" w:type="dxa"/>
            </w:tcMar>
            <w:vAlign w:val="center"/>
          </w:tcPr>
          <w:p w:rsidR="00E346A0" w:rsidP="00BA1967">
            <w:pPr>
              <w:pStyle w:val="ESBodyText0"/>
            </w:pPr>
            <w:r>
              <w:t>State average:</w:t>
            </w:r>
          </w:p>
        </w:tc>
        <w:tc>
          <w:tcPr>
            <w:tcW w:w="1139" w:type="dxa"/>
            <w:tcBorders>
              <w:top w:val="single" w:sz="4" w:space="0" w:color="FFFFFF" w:themeColor="background1"/>
            </w:tcBorders>
            <w:shd w:val="clear" w:color="auto" w:fill="A6A6A6" w:themeFill="background1" w:themeFillShade="A6"/>
            <w:tcMar>
              <w:top w:w="57" w:type="dxa"/>
            </w:tcMar>
            <w:vAlign w:val="center"/>
          </w:tcPr>
          <w:p w:rsidR="00E346A0" w:rsidP="00BA1967">
            <w:pPr>
              <w:pStyle w:val="ESBodyText0"/>
              <w:jc w:val="center"/>
            </w:pPr>
            <w:r>
              <w:t>75.5%</w:t>
            </w:r>
          </w:p>
        </w:tc>
      </w:tr>
    </w:tbl>
    <w:p w:rsidR="00E346A0" w:rsidP="006D6BB2">
      <w:pPr>
        <w:pStyle w:val="ESBodyText0"/>
      </w:pPr>
    </w:p>
    <w:p w:rsidR="00E346A0" w:rsidP="006D6BB2">
      <w:pPr>
        <w:pStyle w:val="ESBodyText0"/>
      </w:pPr>
    </w:p>
    <w:p w:rsidR="00E346A0" w:rsidP="006D6BB2">
      <w:pPr>
        <w:pStyle w:val="ESBodyText0"/>
      </w:pPr>
    </w:p>
    <w:p w:rsidR="00E346A0" w:rsidP="0055455C">
      <w:pPr>
        <w:pStyle w:val="ESBodyText0"/>
        <w:spacing w:after="0" w:line="240" w:lineRule="auto"/>
      </w:pPr>
      <w:r>
        <w:rPr>
          <w:noProof/>
        </w:rPr>
        <w:drawing>
          <wp:anchor distT="0" distB="0" distL="114300" distR="114300" simplePos="0" relativeHeight="251666432" behindDoc="0" locked="0" layoutInCell="1" allowOverlap="1">
            <wp:simplePos x="0" y="0"/>
            <wp:positionH relativeFrom="column">
              <wp:posOffset>3297555</wp:posOffset>
            </wp:positionH>
            <wp:positionV relativeFrom="paragraph">
              <wp:posOffset>119380</wp:posOffset>
            </wp:positionV>
            <wp:extent cx="3724275" cy="190500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1139"/>
      </w:tblGrid>
      <w:tr w:rsidTr="00301A6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1" w:type="dxa"/>
            <w:vAlign w:val="bottom"/>
          </w:tcPr>
          <w:p w:rsidR="00E346A0" w:rsidP="00BA1967">
            <w:pPr>
              <w:spacing w:after="0" w:line="240" w:lineRule="auto"/>
              <w:rPr>
                <w:rFonts w:eastAsia="Times New Roman"/>
                <w:b/>
                <w:bCs/>
                <w:color w:val="000000"/>
                <w:lang w:val="en-AU" w:eastAsia="en-AU"/>
              </w:rPr>
            </w:pPr>
            <w:r>
              <w:rPr>
                <w:rFonts w:eastAsia="Times New Roman"/>
                <w:b/>
                <w:bCs/>
                <w:color w:val="000000"/>
                <w:lang w:val="en-AU" w:eastAsia="en-AU"/>
              </w:rPr>
              <w:t>Mathematics</w:t>
            </w:r>
          </w:p>
          <w:p w:rsidR="00E346A0" w:rsidP="00BA1967">
            <w:pPr>
              <w:pStyle w:val="ESBodyText0"/>
            </w:pPr>
            <w:r w:rsidRPr="00DB36EC">
              <w:rPr>
                <w:rFonts w:eastAsia="Times New Roman"/>
                <w:b/>
                <w:bCs/>
                <w:lang w:val="en-AU" w:eastAsia="en-AU"/>
              </w:rPr>
              <w:t>Year</w:t>
            </w:r>
            <w:r>
              <w:rPr>
                <w:rFonts w:eastAsia="Times New Roman"/>
                <w:b/>
                <w:bCs/>
                <w:lang w:val="en-AU" w:eastAsia="en-AU"/>
              </w:rPr>
              <w:t>s</w:t>
            </w:r>
            <w:r w:rsidRPr="00DB36EC">
              <w:rPr>
                <w:rFonts w:eastAsia="Times New Roman"/>
                <w:b/>
                <w:bCs/>
                <w:lang w:val="en-AU" w:eastAsia="en-AU"/>
              </w:rPr>
              <w:t xml:space="preserve"> </w:t>
            </w:r>
            <w:r w:rsidR="00E6201A">
              <w:rPr>
                <w:rFonts w:eastAsia="Times New Roman"/>
                <w:b/>
                <w:bCs/>
                <w:lang w:val="en-AU" w:eastAsia="en-AU"/>
              </w:rPr>
              <w:t>7 to 10</w:t>
            </w:r>
          </w:p>
        </w:tc>
        <w:tc>
          <w:tcPr>
            <w:tcW w:w="1139" w:type="dxa"/>
            <w:vAlign w:val="bottom"/>
          </w:tcPr>
          <w:p w:rsidR="00E346A0" w:rsidRPr="001B1C12" w:rsidP="00BA1967">
            <w:pPr>
              <w:pStyle w:val="ESBodyText0"/>
              <w:jc w:val="center"/>
            </w:pPr>
            <w:r w:rsidRPr="001B1C12">
              <w:t>Latest year (202</w:t>
            </w:r>
            <w:r w:rsidR="00992F6F">
              <w:t>3</w:t>
            </w:r>
            <w:r w:rsidRPr="001B1C12">
              <w:t>)</w:t>
            </w:r>
          </w:p>
        </w:tc>
      </w:tr>
      <w:tr w:rsidTr="00301A6C">
        <w:tblPrEx>
          <w:tblW w:w="0" w:type="auto"/>
          <w:tblLook w:val="04A0"/>
        </w:tblPrEx>
        <w:trPr>
          <w:trHeight w:hRule="exact" w:val="567"/>
        </w:trPr>
        <w:tc>
          <w:tcPr>
            <w:tcW w:w="3681" w:type="dxa"/>
            <w:tcMar>
              <w:top w:w="57" w:type="dxa"/>
            </w:tcMar>
            <w:vAlign w:val="center"/>
          </w:tcPr>
          <w:p w:rsidR="00E346A0" w:rsidP="00BA1967">
            <w:pPr>
              <w:pStyle w:val="ESBodyText0"/>
            </w:pPr>
            <w:r>
              <w:t>School percent</w:t>
            </w:r>
            <w:r w:rsidR="00992F6F">
              <w:t>age</w:t>
            </w:r>
            <w:r>
              <w:t xml:space="preserve"> of students at or above age expected standards:</w:t>
            </w:r>
          </w:p>
        </w:tc>
        <w:tc>
          <w:tcPr>
            <w:tcW w:w="1139" w:type="dxa"/>
            <w:tcBorders>
              <w:bottom w:val="single" w:sz="4" w:space="0" w:color="FFFFFF" w:themeColor="background1"/>
            </w:tcBorders>
            <w:shd w:val="clear" w:color="auto" w:fill="FFC000"/>
            <w:tcMar>
              <w:top w:w="57" w:type="dxa"/>
            </w:tcMar>
            <w:vAlign w:val="center"/>
          </w:tcPr>
          <w:p w:rsidR="00E346A0" w:rsidP="00BA1967">
            <w:pPr>
              <w:pStyle w:val="ESBodyText0"/>
              <w:jc w:val="center"/>
            </w:pPr>
            <w:r>
              <w:t>53.0%</w:t>
            </w:r>
          </w:p>
        </w:tc>
      </w:tr>
      <w:tr w:rsidTr="00301A6C">
        <w:tblPrEx>
          <w:tblW w:w="0" w:type="auto"/>
          <w:tblLook w:val="04A0"/>
        </w:tblPrEx>
        <w:trPr>
          <w:trHeight w:hRule="exact" w:val="567"/>
        </w:trPr>
        <w:tc>
          <w:tcPr>
            <w:tcW w:w="3681" w:type="dxa"/>
            <w:tcMar>
              <w:top w:w="57" w:type="dxa"/>
            </w:tcMar>
            <w:vAlign w:val="center"/>
          </w:tcPr>
          <w:p w:rsidR="00E346A0" w:rsidP="00BA1967">
            <w:pPr>
              <w:pStyle w:val="ESBodyText0"/>
            </w:pPr>
            <w:r>
              <w:t>Similar Schools average:</w:t>
            </w:r>
          </w:p>
        </w:tc>
        <w:tc>
          <w:tcPr>
            <w:tcW w:w="1139" w:type="dxa"/>
            <w:tcBorders>
              <w:top w:val="single" w:sz="4" w:space="0" w:color="FFFFFF" w:themeColor="background1"/>
              <w:bottom w:val="single" w:sz="4" w:space="0" w:color="FFFFFF" w:themeColor="background1"/>
            </w:tcBorders>
            <w:shd w:val="clear" w:color="auto" w:fill="7030A0"/>
            <w:tcMar>
              <w:top w:w="57" w:type="dxa"/>
            </w:tcMar>
            <w:vAlign w:val="center"/>
          </w:tcPr>
          <w:p w:rsidR="00E346A0" w:rsidRPr="00E346A0" w:rsidP="00BA1967">
            <w:pPr>
              <w:pStyle w:val="ESBodyText0"/>
              <w:jc w:val="center"/>
              <w:rPr>
                <w:color w:val="FFFFFF" w:themeColor="background1"/>
              </w:rPr>
            </w:pPr>
            <w:r>
              <w:rPr>
                <w:color w:val="FFFFFF" w:themeColor="background1"/>
              </w:rPr>
              <w:t>57.6%</w:t>
            </w:r>
          </w:p>
        </w:tc>
      </w:tr>
      <w:tr w:rsidTr="00301A6C">
        <w:tblPrEx>
          <w:tblW w:w="0" w:type="auto"/>
          <w:tblLook w:val="04A0"/>
        </w:tblPrEx>
        <w:trPr>
          <w:trHeight w:hRule="exact" w:val="567"/>
        </w:trPr>
        <w:tc>
          <w:tcPr>
            <w:tcW w:w="3681" w:type="dxa"/>
            <w:tcMar>
              <w:top w:w="57" w:type="dxa"/>
            </w:tcMar>
            <w:vAlign w:val="center"/>
          </w:tcPr>
          <w:p w:rsidR="00E346A0" w:rsidP="00BA1967">
            <w:pPr>
              <w:pStyle w:val="ESBodyText0"/>
            </w:pPr>
            <w:r>
              <w:t>State average:</w:t>
            </w:r>
          </w:p>
        </w:tc>
        <w:tc>
          <w:tcPr>
            <w:tcW w:w="1139" w:type="dxa"/>
            <w:tcBorders>
              <w:top w:val="single" w:sz="4" w:space="0" w:color="FFFFFF" w:themeColor="background1"/>
            </w:tcBorders>
            <w:shd w:val="clear" w:color="auto" w:fill="A6A6A6" w:themeFill="background1" w:themeFillShade="A6"/>
            <w:tcMar>
              <w:top w:w="57" w:type="dxa"/>
            </w:tcMar>
            <w:vAlign w:val="center"/>
          </w:tcPr>
          <w:p w:rsidR="00E346A0" w:rsidP="00BA1967">
            <w:pPr>
              <w:pStyle w:val="ESBodyText0"/>
              <w:jc w:val="center"/>
            </w:pPr>
            <w:r>
              <w:t>68.2%</w:t>
            </w:r>
          </w:p>
        </w:tc>
      </w:tr>
    </w:tbl>
    <w:p w:rsidR="004777FF">
      <w:pPr>
        <w:spacing w:after="0" w:line="240" w:lineRule="auto"/>
      </w:pPr>
    </w:p>
    <w:p w:rsidR="00874585" w:rsidP="001F39DE">
      <w:pPr>
        <w:pStyle w:val="ESHeading30"/>
        <w:spacing w:before="200"/>
      </w:pPr>
    </w:p>
    <w:p w:rsidR="004D2A34">
      <w:pPr>
        <w:spacing w:after="0" w:line="240" w:lineRule="auto"/>
        <w:rPr>
          <w:b/>
          <w:color w:val="000000" w:themeColor="text1"/>
        </w:rPr>
      </w:pPr>
      <w:r>
        <w:br w:type="page"/>
      </w:r>
    </w:p>
    <w:p w:rsidR="00701248" w:rsidP="00701248">
      <w:pPr>
        <w:pStyle w:val="Style10"/>
      </w:pPr>
      <w:r>
        <w:t>LEARNING (continued)</w:t>
      </w:r>
    </w:p>
    <w:p w:rsidR="00701248" w:rsidP="00701248">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r>
        <w:rPr>
          <w:b/>
          <w:i/>
        </w:rPr>
        <w:t>taking into account</w:t>
      </w:r>
      <w:r>
        <w:rPr>
          <w:b/>
          <w:i/>
        </w:rPr>
        <w:t xml:space="preserve"> the school’s socioeconomic background of students, the number of non-English speaking students and the size and location of the school.</w:t>
      </w:r>
    </w:p>
    <w:p w:rsidR="00701248" w:rsidP="00701248">
      <w:pPr>
        <w:pStyle w:val="ESHeading30"/>
      </w:pPr>
      <w:r w:rsidRPr="00EA3964">
        <w:t>NAPLAN</w:t>
      </w:r>
    </w:p>
    <w:p w:rsidR="00701248" w:rsidRPr="00410C77" w:rsidP="00701248">
      <w:pPr>
        <w:pStyle w:val="ESBodyText0"/>
      </w:pPr>
      <w:r w:rsidRPr="00410C77">
        <w:t>Percentage of students in the Strong or Exceeding proficiency levels in NAPLAN.</w:t>
      </w:r>
      <w:r w:rsidRPr="00410C77">
        <w:rPr>
          <w:noProof/>
        </w:rPr>
        <w:t xml:space="preserve"> </w:t>
      </w:r>
    </w:p>
    <w:p w:rsidR="00701248" w:rsidP="00701248">
      <w:pPr>
        <w:pStyle w:val="ESBodyText0"/>
      </w:pPr>
      <w:r>
        <w:rPr>
          <w:noProof/>
        </w:rPr>
        <w:drawing>
          <wp:anchor distT="0" distB="0" distL="114300" distR="114300" simplePos="0" relativeHeight="251683840" behindDoc="0" locked="0" layoutInCell="1" allowOverlap="1">
            <wp:simplePos x="0" y="0"/>
            <wp:positionH relativeFrom="margin">
              <wp:posOffset>3383341</wp:posOffset>
            </wp:positionH>
            <wp:positionV relativeFrom="paragraph">
              <wp:posOffset>290830</wp:posOffset>
            </wp:positionV>
            <wp:extent cx="3495675" cy="1933575"/>
            <wp:effectExtent l="0" t="0" r="0" b="0"/>
            <wp:wrapNone/>
            <wp:docPr id="1445982179" name="Chart 1445982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Pr="00410C77">
        <w:t>Note: The NAPLAN test was revised in 2023 and the results are no longer comparable to previous years. Hence, the 4-year average has been removed until 4-years of data is available.</w:t>
      </w:r>
      <w:r w:rsidRPr="00B90DA3">
        <w:rPr>
          <w:noProo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tblGrid>
      <w:tr w:rsidTr="006525C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701248" w:rsidP="006525CF">
            <w:pPr>
              <w:spacing w:after="0" w:line="240" w:lineRule="auto"/>
              <w:rPr>
                <w:rFonts w:eastAsia="Times New Roman"/>
                <w:b/>
                <w:bCs/>
                <w:color w:val="000000"/>
                <w:lang w:val="en-AU" w:eastAsia="en-AU"/>
              </w:rPr>
            </w:pPr>
            <w:r>
              <w:rPr>
                <w:rFonts w:eastAsia="Times New Roman"/>
                <w:b/>
                <w:bCs/>
                <w:color w:val="000000"/>
                <w:lang w:val="en-AU" w:eastAsia="en-AU"/>
              </w:rPr>
              <w:t>Reading</w:t>
            </w:r>
          </w:p>
          <w:p w:rsidR="00701248" w:rsidRPr="00B20B33" w:rsidP="006525CF">
            <w:pPr>
              <w:pStyle w:val="ESBodyText0"/>
              <w:spacing w:line="240" w:lineRule="auto"/>
              <w:rPr>
                <w:b/>
                <w:bCs/>
              </w:rPr>
            </w:pPr>
            <w:r>
              <w:rPr>
                <w:rFonts w:eastAsia="Times New Roman"/>
                <w:b/>
                <w:bCs/>
                <w:color w:val="000000"/>
                <w:lang w:val="en-AU" w:eastAsia="en-AU"/>
              </w:rPr>
              <w:t>Year 7</w:t>
            </w:r>
          </w:p>
        </w:tc>
        <w:tc>
          <w:tcPr>
            <w:tcW w:w="1131" w:type="dxa"/>
            <w:vAlign w:val="bottom"/>
          </w:tcPr>
          <w:p w:rsidR="00701248" w:rsidP="006525CF">
            <w:pPr>
              <w:pStyle w:val="ESBodyText0"/>
              <w:spacing w:line="240" w:lineRule="auto"/>
              <w:jc w:val="center"/>
            </w:pPr>
            <w:r>
              <w:t>Latest year (2023)</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School percentage of students in Strong or Exceeding:</w:t>
            </w:r>
          </w:p>
        </w:tc>
        <w:tc>
          <w:tcPr>
            <w:tcW w:w="1131" w:type="dxa"/>
            <w:tcBorders>
              <w:bottom w:val="single" w:sz="4" w:space="0" w:color="FFFFFF" w:themeColor="background1"/>
            </w:tcBorders>
            <w:shd w:val="clear" w:color="auto" w:fill="FFC000"/>
            <w:tcMar>
              <w:top w:w="57" w:type="dxa"/>
            </w:tcMar>
            <w:vAlign w:val="center"/>
          </w:tcPr>
          <w:p w:rsidR="00701248" w:rsidP="006525CF">
            <w:pPr>
              <w:pStyle w:val="ESBodyText0"/>
              <w:spacing w:line="240" w:lineRule="auto"/>
              <w:jc w:val="center"/>
            </w:pPr>
            <w:r>
              <w:t>60.2%</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701248" w:rsidRPr="00B20B33" w:rsidP="006525CF">
            <w:pPr>
              <w:pStyle w:val="ESBodyText0"/>
              <w:spacing w:line="240" w:lineRule="auto"/>
              <w:jc w:val="center"/>
              <w:rPr>
                <w:color w:val="FFFFFF" w:themeColor="background1"/>
              </w:rPr>
            </w:pPr>
            <w:r>
              <w:rPr>
                <w:color w:val="FFFFFF" w:themeColor="background1"/>
              </w:rPr>
              <w:t>58.1%</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701248" w:rsidP="006525CF">
            <w:pPr>
              <w:pStyle w:val="ESBodyText0"/>
              <w:spacing w:line="240" w:lineRule="auto"/>
              <w:jc w:val="center"/>
            </w:pPr>
            <w:r>
              <w:t>66.1%</w:t>
            </w:r>
          </w:p>
        </w:tc>
      </w:tr>
    </w:tbl>
    <w:p w:rsidR="00701248" w:rsidP="00701248">
      <w:pPr>
        <w:spacing w:after="0" w:line="240" w:lineRule="auto"/>
        <w:rPr>
          <w:rFonts w:eastAsia="Times New Roman"/>
          <w:b/>
          <w:bCs/>
          <w:color w:val="000000"/>
          <w:lang w:val="en-AU" w:eastAsia="en-AU"/>
        </w:rPr>
      </w:pPr>
    </w:p>
    <w:p w:rsidR="00701248" w:rsidP="00701248">
      <w:pPr>
        <w:spacing w:after="0" w:line="240" w:lineRule="auto"/>
        <w:rPr>
          <w:rFonts w:eastAsia="Times New Roman"/>
          <w:b/>
          <w:bCs/>
          <w:color w:val="000000"/>
          <w:lang w:val="en-AU" w:eastAsia="en-AU"/>
        </w:rPr>
      </w:pPr>
    </w:p>
    <w:p w:rsidR="00701248" w:rsidP="00701248">
      <w:pPr>
        <w:spacing w:after="0" w:line="240" w:lineRule="auto"/>
        <w:rPr>
          <w:rFonts w:eastAsia="Times New Roman"/>
          <w:b/>
          <w:bCs/>
          <w:color w:val="000000"/>
          <w:lang w:val="en-AU" w:eastAsia="en-AU"/>
        </w:rPr>
      </w:pPr>
    </w:p>
    <w:p w:rsidR="00701248" w:rsidP="00701248">
      <w:pPr>
        <w:spacing w:after="0" w:line="240" w:lineRule="auto"/>
        <w:rPr>
          <w:rFonts w:eastAsia="Times New Roman"/>
          <w:b/>
          <w:bCs/>
          <w:color w:val="000000"/>
          <w:lang w:val="en-AU" w:eastAsia="en-AU"/>
        </w:rPr>
      </w:pPr>
      <w:r>
        <w:rPr>
          <w:noProof/>
        </w:rPr>
        <w:drawing>
          <wp:anchor distT="0" distB="0" distL="114300" distR="114300" simplePos="0" relativeHeight="251682816" behindDoc="0" locked="0" layoutInCell="1" allowOverlap="1">
            <wp:simplePos x="0" y="0"/>
            <wp:positionH relativeFrom="margin">
              <wp:posOffset>3392806</wp:posOffset>
            </wp:positionH>
            <wp:positionV relativeFrom="paragraph">
              <wp:posOffset>59055</wp:posOffset>
            </wp:positionV>
            <wp:extent cx="3467100" cy="1971675"/>
            <wp:effectExtent l="0" t="0" r="0" b="0"/>
            <wp:wrapNone/>
            <wp:docPr id="1601027407" name="Chart 16010274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tblGrid>
      <w:tr w:rsidTr="006525C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701248" w:rsidP="006525CF">
            <w:pPr>
              <w:spacing w:after="0" w:line="240" w:lineRule="auto"/>
              <w:rPr>
                <w:rFonts w:eastAsia="Times New Roman"/>
                <w:b/>
                <w:bCs/>
                <w:color w:val="000000"/>
                <w:lang w:val="en-AU" w:eastAsia="en-AU"/>
              </w:rPr>
            </w:pPr>
            <w:r>
              <w:rPr>
                <w:rFonts w:eastAsia="Times New Roman"/>
                <w:b/>
                <w:bCs/>
                <w:color w:val="000000"/>
                <w:lang w:val="en-AU" w:eastAsia="en-AU"/>
              </w:rPr>
              <w:t>Reading</w:t>
            </w:r>
          </w:p>
          <w:p w:rsidR="00701248" w:rsidRPr="00B20B33" w:rsidP="006525CF">
            <w:pPr>
              <w:pStyle w:val="ESBodyText0"/>
              <w:spacing w:line="240" w:lineRule="auto"/>
              <w:rPr>
                <w:b/>
                <w:bCs/>
              </w:rPr>
            </w:pPr>
            <w:r>
              <w:rPr>
                <w:rFonts w:eastAsia="Times New Roman"/>
                <w:b/>
                <w:bCs/>
                <w:color w:val="000000"/>
                <w:lang w:val="en-AU" w:eastAsia="en-AU"/>
              </w:rPr>
              <w:t>Year 9</w:t>
            </w:r>
          </w:p>
        </w:tc>
        <w:tc>
          <w:tcPr>
            <w:tcW w:w="1131" w:type="dxa"/>
            <w:vAlign w:val="bottom"/>
          </w:tcPr>
          <w:p w:rsidR="00701248" w:rsidP="006525CF">
            <w:pPr>
              <w:pStyle w:val="ESBodyText0"/>
              <w:spacing w:line="240" w:lineRule="auto"/>
              <w:jc w:val="center"/>
            </w:pPr>
            <w:r>
              <w:t>Latest year (2023)</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School percentage of students in Strong or Exceeding:</w:t>
            </w:r>
          </w:p>
        </w:tc>
        <w:tc>
          <w:tcPr>
            <w:tcW w:w="1131" w:type="dxa"/>
            <w:tcBorders>
              <w:bottom w:val="single" w:sz="4" w:space="0" w:color="FFFFFF" w:themeColor="background1"/>
            </w:tcBorders>
            <w:shd w:val="clear" w:color="auto" w:fill="FFC000"/>
            <w:tcMar>
              <w:top w:w="57" w:type="dxa"/>
            </w:tcMar>
            <w:vAlign w:val="center"/>
          </w:tcPr>
          <w:p w:rsidR="00701248" w:rsidP="006525CF">
            <w:pPr>
              <w:pStyle w:val="ESBodyText0"/>
              <w:spacing w:line="240" w:lineRule="auto"/>
              <w:jc w:val="center"/>
            </w:pPr>
            <w:r>
              <w:t>46.2%</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701248" w:rsidRPr="00B20B33" w:rsidP="006525CF">
            <w:pPr>
              <w:pStyle w:val="ESBodyText0"/>
              <w:spacing w:line="240" w:lineRule="auto"/>
              <w:jc w:val="center"/>
              <w:rPr>
                <w:color w:val="FFFFFF" w:themeColor="background1"/>
              </w:rPr>
            </w:pPr>
            <w:r>
              <w:rPr>
                <w:color w:val="FFFFFF" w:themeColor="background1"/>
              </w:rPr>
              <w:t>48.6%</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701248" w:rsidP="006525CF">
            <w:pPr>
              <w:pStyle w:val="ESBodyText0"/>
              <w:spacing w:line="240" w:lineRule="auto"/>
              <w:jc w:val="center"/>
            </w:pPr>
            <w:r>
              <w:t>60.0%</w:t>
            </w:r>
          </w:p>
        </w:tc>
      </w:tr>
    </w:tbl>
    <w:p w:rsidR="00701248" w:rsidP="00701248">
      <w:pPr>
        <w:spacing w:after="0" w:line="240" w:lineRule="auto"/>
        <w:rPr>
          <w:rFonts w:eastAsia="Arial" w:cs="Times New Roman"/>
          <w:color w:val="000000"/>
          <w:szCs w:val="20"/>
        </w:rPr>
      </w:pPr>
    </w:p>
    <w:p w:rsidR="00701248" w:rsidP="00701248">
      <w:pPr>
        <w:pStyle w:val="ESBodyText0"/>
        <w:spacing w:after="0" w:line="240" w:lineRule="auto"/>
        <w:rPr>
          <w:rFonts w:eastAsia="Arial" w:cs="Times New Roman"/>
          <w:color w:val="000000"/>
          <w:szCs w:val="20"/>
        </w:rPr>
      </w:pPr>
    </w:p>
    <w:p w:rsidR="00701248" w:rsidP="00701248">
      <w:pPr>
        <w:pStyle w:val="ESHeading30"/>
        <w:spacing w:before="0"/>
      </w:pPr>
      <w:r>
        <w:rPr>
          <w:noProof/>
        </w:rPr>
        <w:drawing>
          <wp:anchor distT="0" distB="0" distL="114300" distR="114300" simplePos="0" relativeHeight="251681792" behindDoc="0" locked="0" layoutInCell="1" allowOverlap="1">
            <wp:simplePos x="0" y="0"/>
            <wp:positionH relativeFrom="margin">
              <wp:posOffset>3392805</wp:posOffset>
            </wp:positionH>
            <wp:positionV relativeFrom="paragraph">
              <wp:posOffset>179070</wp:posOffset>
            </wp:positionV>
            <wp:extent cx="3467100" cy="1933575"/>
            <wp:effectExtent l="0" t="0" r="0" b="0"/>
            <wp:wrapNone/>
            <wp:docPr id="260072887" name="Chart 26007288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tblGrid>
      <w:tr w:rsidTr="006525C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701248" w:rsidP="006525CF">
            <w:pPr>
              <w:spacing w:after="0" w:line="240" w:lineRule="auto"/>
              <w:rPr>
                <w:rFonts w:eastAsia="Times New Roman"/>
                <w:b/>
                <w:bCs/>
                <w:color w:val="000000"/>
                <w:lang w:val="en-AU" w:eastAsia="en-AU"/>
              </w:rPr>
            </w:pPr>
            <w:r>
              <w:rPr>
                <w:rFonts w:eastAsia="Times New Roman"/>
                <w:b/>
                <w:bCs/>
                <w:color w:val="000000"/>
                <w:lang w:val="en-AU" w:eastAsia="en-AU"/>
              </w:rPr>
              <w:t>Numeracy</w:t>
            </w:r>
          </w:p>
          <w:p w:rsidR="00701248" w:rsidRPr="00B20B33" w:rsidP="006525CF">
            <w:pPr>
              <w:pStyle w:val="ESBodyText0"/>
              <w:spacing w:line="240" w:lineRule="auto"/>
              <w:rPr>
                <w:b/>
                <w:bCs/>
              </w:rPr>
            </w:pPr>
            <w:r>
              <w:rPr>
                <w:rFonts w:eastAsia="Times New Roman"/>
                <w:b/>
                <w:bCs/>
                <w:color w:val="000000"/>
                <w:lang w:val="en-AU" w:eastAsia="en-AU"/>
              </w:rPr>
              <w:t>Year 7</w:t>
            </w:r>
          </w:p>
        </w:tc>
        <w:tc>
          <w:tcPr>
            <w:tcW w:w="1131" w:type="dxa"/>
            <w:vAlign w:val="bottom"/>
          </w:tcPr>
          <w:p w:rsidR="00701248" w:rsidP="006525CF">
            <w:pPr>
              <w:pStyle w:val="ESBodyText0"/>
              <w:spacing w:line="240" w:lineRule="auto"/>
              <w:jc w:val="center"/>
            </w:pPr>
            <w:r>
              <w:t>Latest year (2023)</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School percentage of students in Strong or Exceeding:</w:t>
            </w:r>
          </w:p>
        </w:tc>
        <w:tc>
          <w:tcPr>
            <w:tcW w:w="1131" w:type="dxa"/>
            <w:tcBorders>
              <w:bottom w:val="single" w:sz="4" w:space="0" w:color="FFFFFF" w:themeColor="background1"/>
            </w:tcBorders>
            <w:shd w:val="clear" w:color="auto" w:fill="FFC000"/>
            <w:tcMar>
              <w:top w:w="57" w:type="dxa"/>
            </w:tcMar>
            <w:vAlign w:val="center"/>
          </w:tcPr>
          <w:p w:rsidR="00701248" w:rsidP="006525CF">
            <w:pPr>
              <w:pStyle w:val="ESBodyText0"/>
              <w:spacing w:line="240" w:lineRule="auto"/>
              <w:jc w:val="center"/>
            </w:pPr>
            <w:r>
              <w:t>56.8%</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701248" w:rsidRPr="00B20B33" w:rsidP="006525CF">
            <w:pPr>
              <w:pStyle w:val="ESBodyText0"/>
              <w:spacing w:line="240" w:lineRule="auto"/>
              <w:jc w:val="center"/>
              <w:rPr>
                <w:color w:val="FFFFFF" w:themeColor="background1"/>
              </w:rPr>
            </w:pPr>
            <w:r>
              <w:rPr>
                <w:color w:val="FFFFFF" w:themeColor="background1"/>
              </w:rPr>
              <w:t>53.0%</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701248" w:rsidP="006525CF">
            <w:pPr>
              <w:pStyle w:val="ESBodyText0"/>
              <w:spacing w:line="240" w:lineRule="auto"/>
              <w:jc w:val="center"/>
            </w:pPr>
            <w:r>
              <w:t>62.9%</w:t>
            </w:r>
          </w:p>
        </w:tc>
      </w:tr>
    </w:tbl>
    <w:p w:rsidR="00701248" w:rsidP="00701248">
      <w:pPr>
        <w:pStyle w:val="ESHeading30"/>
        <w:spacing w:before="0"/>
      </w:pPr>
    </w:p>
    <w:p w:rsidR="00701248" w:rsidP="00701248">
      <w:pPr>
        <w:pStyle w:val="ESHeading30"/>
        <w:spacing w:before="0"/>
      </w:pPr>
      <w:r>
        <w:rPr>
          <w:noProof/>
        </w:rPr>
        <w:drawing>
          <wp:anchor distT="0" distB="0" distL="114300" distR="114300" simplePos="0" relativeHeight="251680768" behindDoc="0" locked="0" layoutInCell="1" allowOverlap="1">
            <wp:simplePos x="0" y="0"/>
            <wp:positionH relativeFrom="margin">
              <wp:posOffset>3392805</wp:posOffset>
            </wp:positionH>
            <wp:positionV relativeFrom="paragraph">
              <wp:posOffset>179071</wp:posOffset>
            </wp:positionV>
            <wp:extent cx="3467100" cy="1943100"/>
            <wp:effectExtent l="0" t="0" r="0" b="0"/>
            <wp:wrapNone/>
            <wp:docPr id="100933220" name="Chart 1009332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tblGrid>
      <w:tr w:rsidTr="006525C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701248" w:rsidP="006525CF">
            <w:pPr>
              <w:spacing w:after="0" w:line="240" w:lineRule="auto"/>
              <w:rPr>
                <w:rFonts w:eastAsia="Times New Roman"/>
                <w:b/>
                <w:bCs/>
                <w:color w:val="000000"/>
                <w:lang w:val="en-AU" w:eastAsia="en-AU"/>
              </w:rPr>
            </w:pPr>
            <w:r>
              <w:rPr>
                <w:rFonts w:eastAsia="Times New Roman"/>
                <w:b/>
                <w:bCs/>
                <w:color w:val="000000"/>
                <w:lang w:val="en-AU" w:eastAsia="en-AU"/>
              </w:rPr>
              <w:t>Numeracy</w:t>
            </w:r>
          </w:p>
          <w:p w:rsidR="00701248" w:rsidRPr="00B20B33" w:rsidP="006525CF">
            <w:pPr>
              <w:pStyle w:val="ESBodyText0"/>
              <w:spacing w:line="240" w:lineRule="auto"/>
              <w:rPr>
                <w:b/>
                <w:bCs/>
              </w:rPr>
            </w:pPr>
            <w:r>
              <w:rPr>
                <w:rFonts w:eastAsia="Times New Roman"/>
                <w:b/>
                <w:bCs/>
                <w:color w:val="000000"/>
                <w:lang w:val="en-AU" w:eastAsia="en-AU"/>
              </w:rPr>
              <w:t>Year 9</w:t>
            </w:r>
          </w:p>
        </w:tc>
        <w:tc>
          <w:tcPr>
            <w:tcW w:w="1131" w:type="dxa"/>
            <w:vAlign w:val="bottom"/>
          </w:tcPr>
          <w:p w:rsidR="00701248" w:rsidP="006525CF">
            <w:pPr>
              <w:pStyle w:val="ESBodyText0"/>
              <w:spacing w:line="240" w:lineRule="auto"/>
              <w:jc w:val="center"/>
            </w:pPr>
            <w:r>
              <w:t>Latest year (2023)</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School percentage of students in Strong or Exceeding:</w:t>
            </w:r>
          </w:p>
        </w:tc>
        <w:tc>
          <w:tcPr>
            <w:tcW w:w="1131" w:type="dxa"/>
            <w:tcBorders>
              <w:bottom w:val="single" w:sz="4" w:space="0" w:color="FFFFFF" w:themeColor="background1"/>
            </w:tcBorders>
            <w:shd w:val="clear" w:color="auto" w:fill="FFC000"/>
            <w:tcMar>
              <w:top w:w="57" w:type="dxa"/>
            </w:tcMar>
            <w:vAlign w:val="center"/>
          </w:tcPr>
          <w:p w:rsidR="00701248" w:rsidP="006525CF">
            <w:pPr>
              <w:pStyle w:val="ESBodyText0"/>
              <w:spacing w:line="240" w:lineRule="auto"/>
              <w:jc w:val="center"/>
            </w:pPr>
            <w:r>
              <w:t>48.2%</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701248" w:rsidRPr="00B20B33" w:rsidP="006525CF">
            <w:pPr>
              <w:pStyle w:val="ESBodyText0"/>
              <w:spacing w:line="240" w:lineRule="auto"/>
              <w:jc w:val="center"/>
              <w:rPr>
                <w:color w:val="FFFFFF" w:themeColor="background1"/>
              </w:rPr>
            </w:pPr>
            <w:r>
              <w:rPr>
                <w:color w:val="FFFFFF" w:themeColor="background1"/>
              </w:rPr>
              <w:t>49.2%</w:t>
            </w:r>
          </w:p>
        </w:tc>
      </w:tr>
      <w:tr w:rsidTr="006525CF">
        <w:tblPrEx>
          <w:tblW w:w="0" w:type="auto"/>
          <w:tblLook w:val="04A0"/>
        </w:tblPrEx>
        <w:trPr>
          <w:trHeight w:hRule="exact" w:val="567"/>
        </w:trPr>
        <w:tc>
          <w:tcPr>
            <w:tcW w:w="2835" w:type="dxa"/>
            <w:tcMar>
              <w:top w:w="57" w:type="dxa"/>
            </w:tcMar>
            <w:vAlign w:val="center"/>
          </w:tcPr>
          <w:p w:rsidR="00701248" w:rsidP="006525CF">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701248" w:rsidP="006525CF">
            <w:pPr>
              <w:pStyle w:val="ESBodyText0"/>
              <w:spacing w:line="240" w:lineRule="auto"/>
              <w:jc w:val="center"/>
            </w:pPr>
            <w:r>
              <w:t>59.9%</w:t>
            </w:r>
          </w:p>
        </w:tc>
      </w:tr>
    </w:tbl>
    <w:p w:rsidR="00701248" w:rsidP="00701248">
      <w:pPr>
        <w:pStyle w:val="ESHeading30"/>
        <w:spacing w:before="0"/>
      </w:pPr>
    </w:p>
    <w:p w:rsidR="00701248" w:rsidP="00701248">
      <w:pPr>
        <w:pStyle w:val="ESBodyText0"/>
        <w:spacing w:after="0" w:line="240" w:lineRule="auto"/>
        <w:rPr>
          <w:b/>
          <w:color w:val="000000" w:themeColor="text1"/>
        </w:rPr>
      </w:pPr>
      <w:r>
        <w:br w:type="page"/>
      </w:r>
    </w:p>
    <w:p w:rsidR="004D2A34" w:rsidP="004D2A34">
      <w:pPr>
        <w:pStyle w:val="Style10"/>
      </w:pPr>
      <w:r>
        <w:t>LEARNING</w:t>
      </w:r>
      <w:r>
        <w:t xml:space="preserve"> (continued)</w:t>
      </w:r>
    </w:p>
    <w:p w:rsidR="004D2A34" w:rsidP="004D2A34">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r>
        <w:rPr>
          <w:b/>
          <w:i/>
        </w:rPr>
        <w:t>taking into account</w:t>
      </w:r>
      <w:r>
        <w:rPr>
          <w:b/>
          <w:i/>
        </w:rPr>
        <w:t xml:space="preserve"> the school’s socioeconomic background of students, the number of non-English speaking students and the size and location of the school.</w:t>
      </w:r>
    </w:p>
    <w:p w:rsidR="004D2A34" w:rsidP="004D2A34">
      <w:pPr>
        <w:pStyle w:val="ESHeading30"/>
      </w:pPr>
      <w:r w:rsidRPr="00EA3964">
        <w:t>NAPLAN</w:t>
      </w:r>
    </w:p>
    <w:p w:rsidR="00701248" w:rsidRPr="00410C77" w:rsidP="00701248">
      <w:pPr>
        <w:pStyle w:val="ESBodyText0"/>
      </w:pPr>
      <w:r w:rsidRPr="00410C77">
        <w:t>Percentage of students in the top three bands of testing in NAPLAN.</w:t>
      </w:r>
      <w:r w:rsidRPr="00410C77">
        <w:rPr>
          <w:noProof/>
        </w:rPr>
        <w:t xml:space="preserve"> </w:t>
      </w:r>
    </w:p>
    <w:p w:rsidR="00701248" w:rsidP="00701248">
      <w:pPr>
        <w:pStyle w:val="ESBodyText0"/>
      </w:pPr>
      <w:r w:rsidRPr="00410C77">
        <w:t>Note: The NAPLAN test was revised in 2023 and the 2022 results are not comparable to the new methodology.</w:t>
      </w:r>
    </w:p>
    <w:p w:rsidR="00C11F94" w:rsidP="00C11F94">
      <w:pPr>
        <w:spacing w:after="0" w:line="240" w:lineRule="auto"/>
        <w:rPr>
          <w:rFonts w:eastAsia="Times New Roman"/>
          <w:b/>
          <w:bCs/>
          <w:color w:val="000000"/>
          <w:lang w:val="en-AU" w:eastAsia="en-AU"/>
        </w:rPr>
      </w:pPr>
      <w:r>
        <w:rPr>
          <w:noProof/>
        </w:rPr>
        <w:drawing>
          <wp:anchor distT="0" distB="0" distL="114300" distR="114300" simplePos="0" relativeHeight="251664384" behindDoc="0" locked="0" layoutInCell="1" allowOverlap="1">
            <wp:simplePos x="0" y="0"/>
            <wp:positionH relativeFrom="margin">
              <wp:posOffset>3373755</wp:posOffset>
            </wp:positionH>
            <wp:positionV relativeFrom="paragraph">
              <wp:posOffset>80010</wp:posOffset>
            </wp:positionV>
            <wp:extent cx="3495675" cy="1933575"/>
            <wp:effectExtent l="0" t="0" r="0" b="0"/>
            <wp:wrapNone/>
            <wp:docPr id="122819308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tblGrid>
      <w:tr w:rsidTr="002552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701248" w:rsidP="0025525E">
            <w:pPr>
              <w:spacing w:after="0" w:line="240" w:lineRule="auto"/>
              <w:rPr>
                <w:rFonts w:eastAsia="Times New Roman"/>
                <w:b/>
                <w:bCs/>
                <w:color w:val="000000"/>
                <w:lang w:val="en-AU" w:eastAsia="en-AU"/>
              </w:rPr>
            </w:pPr>
            <w:r>
              <w:rPr>
                <w:rFonts w:eastAsia="Times New Roman"/>
                <w:b/>
                <w:bCs/>
                <w:color w:val="000000"/>
                <w:lang w:val="en-AU" w:eastAsia="en-AU"/>
              </w:rPr>
              <w:t>Reading</w:t>
            </w:r>
          </w:p>
          <w:p w:rsidR="00701248" w:rsidRPr="00B20B33" w:rsidP="0025525E">
            <w:pPr>
              <w:pStyle w:val="ESBodyText0"/>
              <w:spacing w:line="240" w:lineRule="auto"/>
              <w:rPr>
                <w:b/>
                <w:bCs/>
              </w:rPr>
            </w:pPr>
            <w:r>
              <w:rPr>
                <w:rFonts w:eastAsia="Times New Roman"/>
                <w:b/>
                <w:bCs/>
                <w:color w:val="000000"/>
                <w:lang w:val="en-AU" w:eastAsia="en-AU"/>
              </w:rPr>
              <w:t>Year 7</w:t>
            </w:r>
          </w:p>
        </w:tc>
        <w:tc>
          <w:tcPr>
            <w:tcW w:w="1131" w:type="dxa"/>
            <w:vAlign w:val="bottom"/>
          </w:tcPr>
          <w:p w:rsidR="00701248" w:rsidP="0025525E">
            <w:pPr>
              <w:pStyle w:val="ESBodyText0"/>
              <w:spacing w:line="240" w:lineRule="auto"/>
              <w:jc w:val="center"/>
            </w:pPr>
            <w:r>
              <w:t>Latest year (2022)</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School percentage of students in the top three bands:</w:t>
            </w:r>
          </w:p>
        </w:tc>
        <w:tc>
          <w:tcPr>
            <w:tcW w:w="1131" w:type="dxa"/>
            <w:tcBorders>
              <w:bottom w:val="single" w:sz="4" w:space="0" w:color="FFFFFF" w:themeColor="background1"/>
            </w:tcBorders>
            <w:shd w:val="clear" w:color="auto" w:fill="FFC000"/>
            <w:tcMar>
              <w:top w:w="57" w:type="dxa"/>
            </w:tcMar>
            <w:vAlign w:val="center"/>
          </w:tcPr>
          <w:p w:rsidR="00701248" w:rsidP="0025525E">
            <w:pPr>
              <w:pStyle w:val="ESBodyText0"/>
              <w:spacing w:line="240" w:lineRule="auto"/>
              <w:jc w:val="center"/>
            </w:pPr>
            <w:r>
              <w:t>41.4%</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701248" w:rsidRPr="00B20B33" w:rsidP="0025525E">
            <w:pPr>
              <w:pStyle w:val="ESBodyText0"/>
              <w:spacing w:line="240" w:lineRule="auto"/>
              <w:jc w:val="center"/>
              <w:rPr>
                <w:color w:val="FFFFFF" w:themeColor="background1"/>
              </w:rPr>
            </w:pPr>
            <w:r>
              <w:rPr>
                <w:color w:val="FFFFFF" w:themeColor="background1"/>
              </w:rPr>
              <w:t>44.6%</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701248" w:rsidP="0025525E">
            <w:pPr>
              <w:pStyle w:val="ESBodyText0"/>
              <w:spacing w:line="240" w:lineRule="auto"/>
              <w:jc w:val="center"/>
            </w:pPr>
            <w:r>
              <w:t>54.6%</w:t>
            </w:r>
          </w:p>
        </w:tc>
      </w:tr>
    </w:tbl>
    <w:p w:rsidR="00C11F94" w:rsidP="00C11F94">
      <w:pPr>
        <w:spacing w:after="0" w:line="240" w:lineRule="auto"/>
        <w:rPr>
          <w:rFonts w:eastAsia="Times New Roman"/>
          <w:b/>
          <w:bCs/>
          <w:color w:val="000000"/>
          <w:lang w:val="en-AU" w:eastAsia="en-AU"/>
        </w:rPr>
      </w:pPr>
    </w:p>
    <w:p w:rsidR="00C11F94" w:rsidP="00C11F94">
      <w:pPr>
        <w:spacing w:after="0" w:line="240" w:lineRule="auto"/>
        <w:rPr>
          <w:rFonts w:eastAsia="Times New Roman"/>
          <w:b/>
          <w:bCs/>
          <w:color w:val="000000"/>
          <w:lang w:val="en-AU" w:eastAsia="en-AU"/>
        </w:rPr>
      </w:pPr>
    </w:p>
    <w:p w:rsidR="00C11F94" w:rsidP="00C11F94">
      <w:pPr>
        <w:spacing w:after="0" w:line="240" w:lineRule="auto"/>
        <w:rPr>
          <w:rFonts w:eastAsia="Times New Roman"/>
          <w:b/>
          <w:bCs/>
          <w:color w:val="000000"/>
          <w:lang w:val="en-AU" w:eastAsia="en-AU"/>
        </w:rPr>
      </w:pPr>
    </w:p>
    <w:p w:rsidR="00C11F94" w:rsidP="00C11F94">
      <w:pPr>
        <w:spacing w:after="0" w:line="240" w:lineRule="auto"/>
        <w:rPr>
          <w:rFonts w:eastAsia="Times New Roman"/>
          <w:b/>
          <w:bCs/>
          <w:color w:val="000000"/>
          <w:lang w:val="en-AU" w:eastAsia="en-AU"/>
        </w:rPr>
      </w:pPr>
      <w:r>
        <w:rPr>
          <w:noProof/>
        </w:rPr>
        <w:drawing>
          <wp:anchor distT="0" distB="0" distL="114300" distR="114300" simplePos="0" relativeHeight="251663360" behindDoc="0" locked="0" layoutInCell="1" allowOverlap="1">
            <wp:simplePos x="0" y="0"/>
            <wp:positionH relativeFrom="margin">
              <wp:posOffset>3392806</wp:posOffset>
            </wp:positionH>
            <wp:positionV relativeFrom="paragraph">
              <wp:posOffset>59055</wp:posOffset>
            </wp:positionV>
            <wp:extent cx="3467100" cy="1971675"/>
            <wp:effectExtent l="0" t="0" r="0" b="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tblGrid>
      <w:tr w:rsidTr="002552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701248" w:rsidP="0025525E">
            <w:pPr>
              <w:spacing w:after="0" w:line="240" w:lineRule="auto"/>
              <w:rPr>
                <w:rFonts w:eastAsia="Times New Roman"/>
                <w:b/>
                <w:bCs/>
                <w:color w:val="000000"/>
                <w:lang w:val="en-AU" w:eastAsia="en-AU"/>
              </w:rPr>
            </w:pPr>
            <w:r>
              <w:rPr>
                <w:rFonts w:eastAsia="Times New Roman"/>
                <w:b/>
                <w:bCs/>
                <w:color w:val="000000"/>
                <w:lang w:val="en-AU" w:eastAsia="en-AU"/>
              </w:rPr>
              <w:t>Reading</w:t>
            </w:r>
          </w:p>
          <w:p w:rsidR="00701248" w:rsidRPr="00B20B33" w:rsidP="0025525E">
            <w:pPr>
              <w:pStyle w:val="ESBodyText0"/>
              <w:spacing w:line="240" w:lineRule="auto"/>
              <w:rPr>
                <w:b/>
                <w:bCs/>
              </w:rPr>
            </w:pPr>
            <w:r>
              <w:rPr>
                <w:rFonts w:eastAsia="Times New Roman"/>
                <w:b/>
                <w:bCs/>
                <w:color w:val="000000"/>
                <w:lang w:val="en-AU" w:eastAsia="en-AU"/>
              </w:rPr>
              <w:t>Year 9</w:t>
            </w:r>
          </w:p>
        </w:tc>
        <w:tc>
          <w:tcPr>
            <w:tcW w:w="1131" w:type="dxa"/>
            <w:vAlign w:val="bottom"/>
          </w:tcPr>
          <w:p w:rsidR="00701248" w:rsidP="0025525E">
            <w:pPr>
              <w:pStyle w:val="ESBodyText0"/>
              <w:spacing w:line="240" w:lineRule="auto"/>
              <w:jc w:val="center"/>
            </w:pPr>
            <w:r>
              <w:t>Latest year (2022)</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School percentage of students in the top three bands:</w:t>
            </w:r>
          </w:p>
        </w:tc>
        <w:tc>
          <w:tcPr>
            <w:tcW w:w="1131" w:type="dxa"/>
            <w:tcBorders>
              <w:bottom w:val="single" w:sz="4" w:space="0" w:color="FFFFFF" w:themeColor="background1"/>
            </w:tcBorders>
            <w:shd w:val="clear" w:color="auto" w:fill="FFC000"/>
            <w:tcMar>
              <w:top w:w="57" w:type="dxa"/>
            </w:tcMar>
            <w:vAlign w:val="center"/>
          </w:tcPr>
          <w:p w:rsidR="00701248" w:rsidP="0025525E">
            <w:pPr>
              <w:pStyle w:val="ESBodyText0"/>
              <w:spacing w:line="240" w:lineRule="auto"/>
              <w:jc w:val="center"/>
            </w:pPr>
            <w:r>
              <w:t>31.6%</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701248" w:rsidRPr="00B20B33" w:rsidP="0025525E">
            <w:pPr>
              <w:pStyle w:val="ESBodyText0"/>
              <w:spacing w:line="240" w:lineRule="auto"/>
              <w:jc w:val="center"/>
              <w:rPr>
                <w:color w:val="FFFFFF" w:themeColor="background1"/>
              </w:rPr>
            </w:pPr>
            <w:r>
              <w:rPr>
                <w:color w:val="FFFFFF" w:themeColor="background1"/>
              </w:rPr>
              <w:t>35.3%</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701248" w:rsidP="0025525E">
            <w:pPr>
              <w:pStyle w:val="ESBodyText0"/>
              <w:spacing w:line="240" w:lineRule="auto"/>
              <w:jc w:val="center"/>
            </w:pPr>
            <w:r>
              <w:t>47.2%</w:t>
            </w:r>
          </w:p>
        </w:tc>
      </w:tr>
    </w:tbl>
    <w:p w:rsidR="00C11F94" w:rsidP="00C11F94">
      <w:pPr>
        <w:spacing w:after="0" w:line="240" w:lineRule="auto"/>
        <w:rPr>
          <w:rFonts w:eastAsia="Arial" w:cs="Times New Roman"/>
          <w:color w:val="000000"/>
          <w:szCs w:val="20"/>
        </w:rPr>
      </w:pPr>
    </w:p>
    <w:p w:rsidR="00C11F94" w:rsidP="00C11F94">
      <w:pPr>
        <w:pStyle w:val="ESBodyText0"/>
        <w:spacing w:after="0" w:line="240" w:lineRule="auto"/>
        <w:rPr>
          <w:rFonts w:eastAsia="Arial" w:cs="Times New Roman"/>
          <w:color w:val="000000"/>
          <w:szCs w:val="20"/>
        </w:rPr>
      </w:pPr>
    </w:p>
    <w:p w:rsidR="00C11F94" w:rsidP="00C11F94">
      <w:pPr>
        <w:pStyle w:val="ESHeading30"/>
        <w:spacing w:before="0"/>
      </w:pPr>
      <w:r>
        <w:rPr>
          <w:noProof/>
        </w:rPr>
        <w:drawing>
          <wp:anchor distT="0" distB="0" distL="114300" distR="114300" simplePos="0" relativeHeight="251662336" behindDoc="0" locked="0" layoutInCell="1" allowOverlap="1">
            <wp:simplePos x="0" y="0"/>
            <wp:positionH relativeFrom="margin">
              <wp:posOffset>3392805</wp:posOffset>
            </wp:positionH>
            <wp:positionV relativeFrom="paragraph">
              <wp:posOffset>179070</wp:posOffset>
            </wp:positionV>
            <wp:extent cx="3467100" cy="1933575"/>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tblGrid>
      <w:tr w:rsidTr="002552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701248" w:rsidP="0025525E">
            <w:pPr>
              <w:spacing w:after="0" w:line="240" w:lineRule="auto"/>
              <w:rPr>
                <w:rFonts w:eastAsia="Times New Roman"/>
                <w:b/>
                <w:bCs/>
                <w:color w:val="000000"/>
                <w:lang w:val="en-AU" w:eastAsia="en-AU"/>
              </w:rPr>
            </w:pPr>
            <w:r>
              <w:rPr>
                <w:rFonts w:eastAsia="Times New Roman"/>
                <w:b/>
                <w:bCs/>
                <w:color w:val="000000"/>
                <w:lang w:val="en-AU" w:eastAsia="en-AU"/>
              </w:rPr>
              <w:t>Numeracy</w:t>
            </w:r>
          </w:p>
          <w:p w:rsidR="00701248" w:rsidRPr="00B20B33" w:rsidP="0025525E">
            <w:pPr>
              <w:pStyle w:val="ESBodyText0"/>
              <w:spacing w:line="240" w:lineRule="auto"/>
              <w:rPr>
                <w:b/>
                <w:bCs/>
              </w:rPr>
            </w:pPr>
            <w:r>
              <w:rPr>
                <w:rFonts w:eastAsia="Times New Roman"/>
                <w:b/>
                <w:bCs/>
                <w:color w:val="000000"/>
                <w:lang w:val="en-AU" w:eastAsia="en-AU"/>
              </w:rPr>
              <w:t>Year 7</w:t>
            </w:r>
          </w:p>
        </w:tc>
        <w:tc>
          <w:tcPr>
            <w:tcW w:w="1131" w:type="dxa"/>
            <w:vAlign w:val="bottom"/>
          </w:tcPr>
          <w:p w:rsidR="00701248" w:rsidP="0025525E">
            <w:pPr>
              <w:pStyle w:val="ESBodyText0"/>
              <w:spacing w:line="240" w:lineRule="auto"/>
              <w:jc w:val="center"/>
            </w:pPr>
            <w:r>
              <w:t>Latest year (2022)</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School percentage of students in the top three bands:</w:t>
            </w:r>
          </w:p>
        </w:tc>
        <w:tc>
          <w:tcPr>
            <w:tcW w:w="1131" w:type="dxa"/>
            <w:tcBorders>
              <w:bottom w:val="single" w:sz="4" w:space="0" w:color="FFFFFF" w:themeColor="background1"/>
            </w:tcBorders>
            <w:shd w:val="clear" w:color="auto" w:fill="FFC000"/>
            <w:tcMar>
              <w:top w:w="57" w:type="dxa"/>
            </w:tcMar>
            <w:vAlign w:val="center"/>
          </w:tcPr>
          <w:p w:rsidR="00701248" w:rsidP="0025525E">
            <w:pPr>
              <w:pStyle w:val="ESBodyText0"/>
              <w:spacing w:line="240" w:lineRule="auto"/>
              <w:jc w:val="center"/>
            </w:pPr>
            <w:r>
              <w:t>43.1%</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701248" w:rsidRPr="00B20B33" w:rsidP="0025525E">
            <w:pPr>
              <w:pStyle w:val="ESBodyText0"/>
              <w:spacing w:line="240" w:lineRule="auto"/>
              <w:jc w:val="center"/>
              <w:rPr>
                <w:color w:val="FFFFFF" w:themeColor="background1"/>
              </w:rPr>
            </w:pPr>
            <w:r>
              <w:rPr>
                <w:color w:val="FFFFFF" w:themeColor="background1"/>
              </w:rPr>
              <w:t>41.7%</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701248" w:rsidP="0025525E">
            <w:pPr>
              <w:pStyle w:val="ESBodyText0"/>
              <w:spacing w:line="240" w:lineRule="auto"/>
              <w:jc w:val="center"/>
            </w:pPr>
            <w:r>
              <w:t>52.5%</w:t>
            </w:r>
          </w:p>
        </w:tc>
      </w:tr>
    </w:tbl>
    <w:p w:rsidR="00C11F94" w:rsidP="00C11F94">
      <w:pPr>
        <w:pStyle w:val="ESHeading30"/>
        <w:spacing w:before="0"/>
      </w:pPr>
    </w:p>
    <w:p w:rsidR="00C11F94" w:rsidP="00C11F94">
      <w:pPr>
        <w:pStyle w:val="ESHeading30"/>
        <w:spacing w:before="0"/>
      </w:pPr>
      <w:r>
        <w:rPr>
          <w:noProof/>
        </w:rPr>
        <w:drawing>
          <wp:anchor distT="0" distB="0" distL="114300" distR="114300" simplePos="0" relativeHeight="251661312" behindDoc="0" locked="0" layoutInCell="1" allowOverlap="1">
            <wp:simplePos x="0" y="0"/>
            <wp:positionH relativeFrom="margin">
              <wp:posOffset>3392805</wp:posOffset>
            </wp:positionH>
            <wp:positionV relativeFrom="paragraph">
              <wp:posOffset>179071</wp:posOffset>
            </wp:positionV>
            <wp:extent cx="3467100" cy="1943100"/>
            <wp:effectExtent l="0" t="0" r="0" b="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tblGrid>
      <w:tr w:rsidTr="002552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701248" w:rsidP="0025525E">
            <w:pPr>
              <w:spacing w:after="0" w:line="240" w:lineRule="auto"/>
              <w:rPr>
                <w:rFonts w:eastAsia="Times New Roman"/>
                <w:b/>
                <w:bCs/>
                <w:color w:val="000000"/>
                <w:lang w:val="en-AU" w:eastAsia="en-AU"/>
              </w:rPr>
            </w:pPr>
            <w:r>
              <w:rPr>
                <w:rFonts w:eastAsia="Times New Roman"/>
                <w:b/>
                <w:bCs/>
                <w:color w:val="000000"/>
                <w:lang w:val="en-AU" w:eastAsia="en-AU"/>
              </w:rPr>
              <w:t>Numeracy</w:t>
            </w:r>
          </w:p>
          <w:p w:rsidR="00701248" w:rsidRPr="00B20B33" w:rsidP="0025525E">
            <w:pPr>
              <w:pStyle w:val="ESBodyText0"/>
              <w:spacing w:line="240" w:lineRule="auto"/>
              <w:rPr>
                <w:b/>
                <w:bCs/>
              </w:rPr>
            </w:pPr>
            <w:r>
              <w:rPr>
                <w:rFonts w:eastAsia="Times New Roman"/>
                <w:b/>
                <w:bCs/>
                <w:color w:val="000000"/>
                <w:lang w:val="en-AU" w:eastAsia="en-AU"/>
              </w:rPr>
              <w:t>Year 9</w:t>
            </w:r>
          </w:p>
        </w:tc>
        <w:tc>
          <w:tcPr>
            <w:tcW w:w="1131" w:type="dxa"/>
            <w:vAlign w:val="bottom"/>
          </w:tcPr>
          <w:p w:rsidR="00701248" w:rsidP="0025525E">
            <w:pPr>
              <w:pStyle w:val="ESBodyText0"/>
              <w:spacing w:line="240" w:lineRule="auto"/>
              <w:jc w:val="center"/>
            </w:pPr>
            <w:r>
              <w:t>Latest year (2022)</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School percentage of students in the top three bands:</w:t>
            </w:r>
          </w:p>
        </w:tc>
        <w:tc>
          <w:tcPr>
            <w:tcW w:w="1131" w:type="dxa"/>
            <w:tcBorders>
              <w:bottom w:val="single" w:sz="4" w:space="0" w:color="FFFFFF" w:themeColor="background1"/>
            </w:tcBorders>
            <w:shd w:val="clear" w:color="auto" w:fill="FFC000"/>
            <w:tcMar>
              <w:top w:w="57" w:type="dxa"/>
            </w:tcMar>
            <w:vAlign w:val="center"/>
          </w:tcPr>
          <w:p w:rsidR="00701248" w:rsidP="0025525E">
            <w:pPr>
              <w:pStyle w:val="ESBodyText0"/>
              <w:spacing w:line="240" w:lineRule="auto"/>
              <w:jc w:val="center"/>
            </w:pPr>
            <w:r>
              <w:t>25.5%</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Similar Schools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701248" w:rsidRPr="00B20B33" w:rsidP="0025525E">
            <w:pPr>
              <w:pStyle w:val="ESBodyText0"/>
              <w:spacing w:line="240" w:lineRule="auto"/>
              <w:jc w:val="center"/>
              <w:rPr>
                <w:color w:val="FFFFFF" w:themeColor="background1"/>
              </w:rPr>
            </w:pPr>
            <w:r>
              <w:rPr>
                <w:color w:val="FFFFFF" w:themeColor="background1"/>
              </w:rPr>
              <w:t>32.3%</w:t>
            </w:r>
          </w:p>
        </w:tc>
      </w:tr>
      <w:tr w:rsidTr="0025525E">
        <w:tblPrEx>
          <w:tblW w:w="0" w:type="auto"/>
          <w:tblLook w:val="04A0"/>
        </w:tblPrEx>
        <w:trPr>
          <w:trHeight w:hRule="exact" w:val="567"/>
        </w:trPr>
        <w:tc>
          <w:tcPr>
            <w:tcW w:w="2835" w:type="dxa"/>
            <w:tcMar>
              <w:top w:w="57" w:type="dxa"/>
            </w:tcMar>
            <w:vAlign w:val="center"/>
          </w:tcPr>
          <w:p w:rsidR="00701248" w:rsidP="0025525E">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701248" w:rsidP="0025525E">
            <w:pPr>
              <w:pStyle w:val="ESBodyText0"/>
              <w:spacing w:line="240" w:lineRule="auto"/>
              <w:jc w:val="center"/>
            </w:pPr>
            <w:r>
              <w:t>44.7%</w:t>
            </w:r>
          </w:p>
        </w:tc>
      </w:tr>
    </w:tbl>
    <w:p w:rsidR="00C11F94" w:rsidP="00C11F94">
      <w:pPr>
        <w:pStyle w:val="ESHeading30"/>
        <w:spacing w:before="0"/>
      </w:pPr>
    </w:p>
    <w:p w:rsidR="004D2A34" w:rsidP="00C11F94">
      <w:pPr>
        <w:pStyle w:val="ESBodyText0"/>
        <w:spacing w:after="0" w:line="240" w:lineRule="auto"/>
        <w:rPr>
          <w:b/>
          <w:color w:val="000000" w:themeColor="text1"/>
        </w:rPr>
      </w:pPr>
      <w:r>
        <w:br w:type="page"/>
      </w:r>
    </w:p>
    <w:p w:rsidR="004D2A34" w:rsidP="004D2A34">
      <w:pPr>
        <w:pStyle w:val="Style10"/>
      </w:pPr>
      <w:r>
        <w:t>LEARNING</w:t>
      </w:r>
      <w:r>
        <w:t xml:space="preserve"> (continued)</w:t>
      </w:r>
    </w:p>
    <w:p w:rsidR="007F1B5B" w:rsidRPr="007F1B5B" w:rsidP="007F1B5B">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r>
        <w:rPr>
          <w:b/>
          <w:i/>
        </w:rPr>
        <w:t>taking into account</w:t>
      </w:r>
      <w:r>
        <w:rPr>
          <w:b/>
          <w:i/>
        </w:rPr>
        <w:t xml:space="preserve"> the school’s socioeconomic background of students, the number of non-English speaking students and the size and location of the school.</w:t>
      </w:r>
    </w:p>
    <w:p w:rsidR="00392029" w:rsidRPr="00295C23" w:rsidP="00392029">
      <w:pPr>
        <w:pStyle w:val="ESBodyText0"/>
        <w:rPr>
          <w:b/>
          <w:bCs/>
        </w:rPr>
      </w:pPr>
      <w:r>
        <w:rPr>
          <w:b/>
          <w:bCs/>
        </w:rPr>
        <w:br/>
      </w:r>
      <w:r w:rsidRPr="00295C23">
        <w:rPr>
          <w:b/>
          <w:bCs/>
        </w:rPr>
        <w:t xml:space="preserve">Victorian Senior Secondary Certificate </w:t>
      </w:r>
    </w:p>
    <w:p w:rsidR="00392029" w:rsidRPr="00295C23" w:rsidP="00392029">
      <w:pPr>
        <w:pStyle w:val="ESBodyText0"/>
      </w:pPr>
      <w:r w:rsidRPr="00295C23">
        <w:t>In 2023, the Victorian Curriculum and Assessment Authority introduced the new VCE Vocational Major (VM), a vocational and applied learning program within the VCE designed to be completed over a minimum of two years.</w:t>
      </w:r>
    </w:p>
    <w:p w:rsidR="00392029" w:rsidP="00392029">
      <w:pPr>
        <w:pStyle w:val="ESBodyText0"/>
      </w:pPr>
      <w:r w:rsidRPr="00295C23">
        <w:t>Note that as of 2023, the Victorian Senior Secondary Certificate completion rate includes the VCE including the VCE Vocational Major</w:t>
      </w:r>
      <w:r w:rsidR="004C0FCA">
        <w:t>.</w:t>
      </w:r>
    </w:p>
    <w:p w:rsidR="00392029" w:rsidP="00392029">
      <w:pPr>
        <w:pStyle w:val="ESBodyText0"/>
      </w:pPr>
      <w:r>
        <w:rPr>
          <w:noProof/>
        </w:rPr>
        <w:drawing>
          <wp:anchor distT="0" distB="0" distL="114300" distR="114300" simplePos="0" relativeHeight="251684864" behindDoc="0" locked="0" layoutInCell="1" allowOverlap="1">
            <wp:simplePos x="0" y="0"/>
            <wp:positionH relativeFrom="margin">
              <wp:posOffset>3276600</wp:posOffset>
            </wp:positionH>
            <wp:positionV relativeFrom="paragraph">
              <wp:posOffset>313690</wp:posOffset>
            </wp:positionV>
            <wp:extent cx="3666490" cy="1781175"/>
            <wp:effectExtent l="0" t="0" r="0" b="0"/>
            <wp:wrapNone/>
            <wp:docPr id="4333225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4"/>
        <w:gridCol w:w="1129"/>
      </w:tblGrid>
      <w:tr w:rsidTr="006525C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392029" w:rsidRPr="00B20B33" w:rsidP="006525CF">
            <w:pPr>
              <w:pStyle w:val="ESBodyText0"/>
              <w:spacing w:line="240" w:lineRule="auto"/>
              <w:rPr>
                <w:b/>
                <w:bCs/>
              </w:rPr>
            </w:pPr>
            <w:r w:rsidRPr="00295C23">
              <w:rPr>
                <w:b/>
                <w:bCs/>
              </w:rPr>
              <w:t>Victorian Senior Secondary Certificate</w:t>
            </w:r>
          </w:p>
        </w:tc>
        <w:tc>
          <w:tcPr>
            <w:tcW w:w="1134" w:type="dxa"/>
            <w:vAlign w:val="bottom"/>
          </w:tcPr>
          <w:p w:rsidR="00392029" w:rsidP="006525CF">
            <w:pPr>
              <w:pStyle w:val="ESBodyText0"/>
              <w:spacing w:line="240" w:lineRule="auto"/>
              <w:jc w:val="center"/>
            </w:pPr>
            <w:r>
              <w:t>Latest year (2023)</w:t>
            </w:r>
          </w:p>
        </w:tc>
        <w:tc>
          <w:tcPr>
            <w:tcW w:w="1129" w:type="dxa"/>
            <w:vAlign w:val="bottom"/>
          </w:tcPr>
          <w:p w:rsidR="00392029" w:rsidP="006525CF">
            <w:pPr>
              <w:pStyle w:val="ESBodyText0"/>
              <w:spacing w:line="240" w:lineRule="auto"/>
              <w:jc w:val="center"/>
            </w:pPr>
            <w:r>
              <w:t>4-year average</w:t>
            </w:r>
          </w:p>
        </w:tc>
      </w:tr>
      <w:tr w:rsidTr="006525CF">
        <w:tblPrEx>
          <w:tblW w:w="0" w:type="auto"/>
          <w:tblLook w:val="04A0"/>
        </w:tblPrEx>
        <w:trPr>
          <w:trHeight w:hRule="exact" w:val="567"/>
        </w:trPr>
        <w:tc>
          <w:tcPr>
            <w:tcW w:w="2835" w:type="dxa"/>
            <w:tcMar>
              <w:top w:w="57" w:type="dxa"/>
            </w:tcMar>
            <w:vAlign w:val="center"/>
          </w:tcPr>
          <w:p w:rsidR="00392029" w:rsidP="006525CF">
            <w:pPr>
              <w:pStyle w:val="ESBodyText0"/>
              <w:spacing w:line="240" w:lineRule="auto"/>
            </w:pPr>
            <w:r>
              <w:t>School completion rate:</w:t>
            </w:r>
          </w:p>
        </w:tc>
        <w:tc>
          <w:tcPr>
            <w:tcW w:w="1134" w:type="dxa"/>
            <w:tcBorders>
              <w:bottom w:val="single" w:sz="4" w:space="0" w:color="FFFFFF" w:themeColor="background1"/>
            </w:tcBorders>
            <w:shd w:val="clear" w:color="auto" w:fill="FFC000"/>
            <w:tcMar>
              <w:top w:w="57" w:type="dxa"/>
            </w:tcMar>
            <w:vAlign w:val="center"/>
          </w:tcPr>
          <w:p w:rsidR="00392029" w:rsidP="006525CF">
            <w:pPr>
              <w:pStyle w:val="ESBodyText0"/>
              <w:spacing w:line="240" w:lineRule="auto"/>
              <w:jc w:val="center"/>
            </w:pPr>
            <w:r>
              <w:t>99.4%</w:t>
            </w:r>
          </w:p>
        </w:tc>
        <w:tc>
          <w:tcPr>
            <w:tcW w:w="1129" w:type="dxa"/>
            <w:tcBorders>
              <w:bottom w:val="single" w:sz="4" w:space="0" w:color="FFFFFF" w:themeColor="background1"/>
            </w:tcBorders>
            <w:shd w:val="clear" w:color="auto" w:fill="FFC000"/>
            <w:tcMar>
              <w:top w:w="57" w:type="dxa"/>
            </w:tcMar>
            <w:vAlign w:val="center"/>
          </w:tcPr>
          <w:p w:rsidR="00392029" w:rsidP="006525CF">
            <w:pPr>
              <w:pStyle w:val="ESBodyText0"/>
              <w:spacing w:line="240" w:lineRule="auto"/>
              <w:jc w:val="center"/>
            </w:pPr>
            <w:r>
              <w:t>97.7%</w:t>
            </w:r>
          </w:p>
        </w:tc>
      </w:tr>
      <w:tr w:rsidTr="006525CF">
        <w:tblPrEx>
          <w:tblW w:w="0" w:type="auto"/>
          <w:tblLook w:val="04A0"/>
        </w:tblPrEx>
        <w:trPr>
          <w:trHeight w:hRule="exact" w:val="567"/>
        </w:trPr>
        <w:tc>
          <w:tcPr>
            <w:tcW w:w="2835" w:type="dxa"/>
            <w:tcMar>
              <w:top w:w="57" w:type="dxa"/>
            </w:tcMar>
            <w:vAlign w:val="center"/>
          </w:tcPr>
          <w:p w:rsidR="00392029" w:rsidP="006525CF">
            <w:pPr>
              <w:pStyle w:val="ESBodyText0"/>
              <w:spacing w:line="240" w:lineRule="auto"/>
            </w:pPr>
            <w:r>
              <w:t>Similar Schools completion rate: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rsidR="00392029" w:rsidRPr="00B20B33" w:rsidP="006525CF">
            <w:pPr>
              <w:pStyle w:val="ESBodyText0"/>
              <w:spacing w:line="240" w:lineRule="auto"/>
              <w:jc w:val="center"/>
              <w:rPr>
                <w:color w:val="FFFFFF" w:themeColor="background1"/>
              </w:rPr>
            </w:pPr>
            <w:r>
              <w:rPr>
                <w:color w:val="FFFFFF" w:themeColor="background1"/>
              </w:rPr>
              <w:t>96.2%</w:t>
            </w:r>
          </w:p>
        </w:tc>
        <w:tc>
          <w:tcPr>
            <w:tcW w:w="1129" w:type="dxa"/>
            <w:tcBorders>
              <w:top w:val="single" w:sz="4" w:space="0" w:color="FFFFFF" w:themeColor="background1"/>
              <w:bottom w:val="single" w:sz="4" w:space="0" w:color="FFFFFF" w:themeColor="background1"/>
            </w:tcBorders>
            <w:shd w:val="clear" w:color="auto" w:fill="7030A0"/>
            <w:tcMar>
              <w:top w:w="57" w:type="dxa"/>
            </w:tcMar>
            <w:vAlign w:val="center"/>
          </w:tcPr>
          <w:p w:rsidR="00392029" w:rsidRPr="00B20B33" w:rsidP="006525CF">
            <w:pPr>
              <w:pStyle w:val="ESBodyText0"/>
              <w:spacing w:line="240" w:lineRule="auto"/>
              <w:jc w:val="center"/>
              <w:rPr>
                <w:color w:val="FFFFFF" w:themeColor="background1"/>
              </w:rPr>
            </w:pPr>
            <w:r>
              <w:rPr>
                <w:color w:val="FFFFFF" w:themeColor="background1"/>
              </w:rPr>
              <w:t>96.5%</w:t>
            </w:r>
          </w:p>
        </w:tc>
      </w:tr>
      <w:tr w:rsidTr="006525CF">
        <w:tblPrEx>
          <w:tblW w:w="0" w:type="auto"/>
          <w:tblLook w:val="04A0"/>
        </w:tblPrEx>
        <w:trPr>
          <w:trHeight w:hRule="exact" w:val="567"/>
        </w:trPr>
        <w:tc>
          <w:tcPr>
            <w:tcW w:w="2835" w:type="dxa"/>
            <w:tcMar>
              <w:top w:w="57" w:type="dxa"/>
            </w:tcMar>
            <w:vAlign w:val="center"/>
          </w:tcPr>
          <w:p w:rsidR="00392029" w:rsidP="006525CF">
            <w:pPr>
              <w:pStyle w:val="ESBodyText0"/>
              <w:spacing w:line="240" w:lineRule="auto"/>
            </w:pPr>
            <w:r>
              <w:t>State completion rate:</w:t>
            </w:r>
          </w:p>
        </w:tc>
        <w:tc>
          <w:tcPr>
            <w:tcW w:w="1134" w:type="dxa"/>
            <w:tcBorders>
              <w:top w:val="single" w:sz="4" w:space="0" w:color="FFFFFF" w:themeColor="background1"/>
            </w:tcBorders>
            <w:shd w:val="clear" w:color="auto" w:fill="A6A6A6" w:themeFill="background1" w:themeFillShade="A6"/>
            <w:tcMar>
              <w:top w:w="57" w:type="dxa"/>
            </w:tcMar>
            <w:vAlign w:val="center"/>
          </w:tcPr>
          <w:p w:rsidR="00392029" w:rsidP="006525CF">
            <w:pPr>
              <w:pStyle w:val="ESBodyText0"/>
              <w:spacing w:line="240" w:lineRule="auto"/>
              <w:jc w:val="center"/>
            </w:pPr>
            <w:r>
              <w:t>96.6%</w:t>
            </w:r>
          </w:p>
        </w:tc>
        <w:tc>
          <w:tcPr>
            <w:tcW w:w="1129" w:type="dxa"/>
            <w:tcBorders>
              <w:top w:val="single" w:sz="4" w:space="0" w:color="FFFFFF" w:themeColor="background1"/>
            </w:tcBorders>
            <w:shd w:val="clear" w:color="auto" w:fill="A6A6A6" w:themeFill="background1" w:themeFillShade="A6"/>
            <w:tcMar>
              <w:top w:w="57" w:type="dxa"/>
            </w:tcMar>
            <w:vAlign w:val="center"/>
          </w:tcPr>
          <w:p w:rsidR="00392029" w:rsidP="006525CF">
            <w:pPr>
              <w:pStyle w:val="ESBodyText0"/>
              <w:spacing w:line="240" w:lineRule="auto"/>
              <w:jc w:val="center"/>
            </w:pPr>
            <w:r>
              <w:t>97.1%</w:t>
            </w:r>
          </w:p>
        </w:tc>
      </w:tr>
    </w:tbl>
    <w:p w:rsidR="00392029" w:rsidP="00392029">
      <w:pPr>
        <w:pStyle w:val="ESBodyText0"/>
        <w:spacing w:line="240" w:lineRule="auto"/>
      </w:pPr>
    </w:p>
    <w:p w:rsidR="00392029" w:rsidP="00392029">
      <w:pPr>
        <w:pStyle w:val="ESBodyText0"/>
        <w:spacing w:line="240" w:lineRule="auto"/>
      </w:pPr>
    </w:p>
    <w:p w:rsidR="00392029" w:rsidP="00392029">
      <w:pPr>
        <w:pStyle w:val="ESBodyText0"/>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4"/>
        <w:gridCol w:w="2438"/>
      </w:tblGrid>
      <w:tr w:rsidTr="006525C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567"/>
        </w:trPr>
        <w:tc>
          <w:tcPr>
            <w:tcW w:w="6294" w:type="dxa"/>
            <w:tcMar>
              <w:top w:w="57" w:type="dxa"/>
            </w:tcMar>
            <w:vAlign w:val="center"/>
          </w:tcPr>
          <w:p w:rsidR="00392029" w:rsidRPr="001E6562" w:rsidP="006525CF">
            <w:pPr>
              <w:pStyle w:val="ESBodyText0"/>
              <w:spacing w:line="240" w:lineRule="auto"/>
              <w:rPr>
                <w:rFonts w:eastAsia="Times New Roman"/>
                <w:color w:val="000000"/>
                <w:lang w:eastAsia="en-AU"/>
              </w:rPr>
            </w:pPr>
            <w:r w:rsidRPr="001E6562">
              <w:rPr>
                <w:rFonts w:eastAsia="Times New Roman"/>
                <w:color w:val="000000"/>
                <w:lang w:eastAsia="en-AU"/>
              </w:rPr>
              <w:t>Mean study score from all VCE subjects:</w:t>
            </w:r>
          </w:p>
        </w:tc>
        <w:tc>
          <w:tcPr>
            <w:tcW w:w="2438" w:type="dxa"/>
            <w:tcBorders>
              <w:bottom w:val="single" w:sz="4" w:space="0" w:color="FFFFFF" w:themeColor="background1"/>
            </w:tcBorders>
            <w:shd w:val="clear" w:color="auto" w:fill="FFC000"/>
            <w:tcMar>
              <w:top w:w="57" w:type="dxa"/>
            </w:tcMar>
            <w:vAlign w:val="center"/>
          </w:tcPr>
          <w:p w:rsidR="00392029" w:rsidRPr="001E6562" w:rsidP="006525CF">
            <w:pPr>
              <w:pStyle w:val="ESBodyText0"/>
              <w:spacing w:line="240" w:lineRule="auto"/>
              <w:jc w:val="center"/>
            </w:pPr>
            <w:r>
              <w:t>26.9</w:t>
            </w:r>
          </w:p>
        </w:tc>
      </w:tr>
      <w:tr w:rsidTr="006525CF">
        <w:tblPrEx>
          <w:tblW w:w="0" w:type="auto"/>
          <w:tblLook w:val="04A0"/>
        </w:tblPrEx>
        <w:trPr>
          <w:trHeight w:hRule="exact" w:val="567"/>
        </w:trPr>
        <w:tc>
          <w:tcPr>
            <w:tcW w:w="6294" w:type="dxa"/>
            <w:tcMar>
              <w:top w:w="57" w:type="dxa"/>
            </w:tcMar>
            <w:vAlign w:val="center"/>
          </w:tcPr>
          <w:p w:rsidR="00392029" w:rsidRPr="001E6562" w:rsidP="006525CF">
            <w:pPr>
              <w:pStyle w:val="ESBodyText0"/>
              <w:spacing w:line="240" w:lineRule="auto"/>
            </w:pPr>
            <w:r w:rsidRPr="001E6562">
              <w:rPr>
                <w:rFonts w:eastAsia="Times New Roman"/>
                <w:color w:val="000000"/>
                <w:lang w:eastAsia="en-AU"/>
              </w:rPr>
              <w:t>Number of students awarded the VCE Vocational Major</w:t>
            </w:r>
          </w:p>
        </w:tc>
        <w:tc>
          <w:tcPr>
            <w:tcW w:w="2438" w:type="dxa"/>
            <w:tcBorders>
              <w:bottom w:val="single" w:sz="4" w:space="0" w:color="FFFFFF" w:themeColor="background1"/>
            </w:tcBorders>
            <w:shd w:val="clear" w:color="auto" w:fill="FFC000"/>
            <w:tcMar>
              <w:top w:w="57" w:type="dxa"/>
            </w:tcMar>
            <w:vAlign w:val="center"/>
          </w:tcPr>
          <w:p w:rsidR="00392029" w:rsidRPr="001E6562" w:rsidP="006525CF">
            <w:pPr>
              <w:pStyle w:val="ESBodyText0"/>
              <w:spacing w:line="240" w:lineRule="auto"/>
              <w:jc w:val="center"/>
            </w:pPr>
            <w:r>
              <w:t>NDP</w:t>
            </w:r>
          </w:p>
        </w:tc>
      </w:tr>
      <w:tr w:rsidTr="006525CF">
        <w:tblPrEx>
          <w:tblW w:w="0" w:type="auto"/>
          <w:tblLook w:val="04A0"/>
        </w:tblPrEx>
        <w:trPr>
          <w:trHeight w:hRule="exact" w:val="567"/>
        </w:trPr>
        <w:tc>
          <w:tcPr>
            <w:tcW w:w="6294" w:type="dxa"/>
            <w:tcMar>
              <w:top w:w="57" w:type="dxa"/>
            </w:tcMar>
            <w:vAlign w:val="center"/>
          </w:tcPr>
          <w:p w:rsidR="00392029" w:rsidRPr="001E6562" w:rsidP="006525CF">
            <w:pPr>
              <w:pStyle w:val="ESBodyText0"/>
              <w:spacing w:line="240" w:lineRule="auto"/>
            </w:pPr>
            <w:r w:rsidRPr="001E6562">
              <w:rPr>
                <w:rFonts w:eastAsia="Times New Roman"/>
                <w:color w:val="000000"/>
                <w:lang w:eastAsia="en-AU"/>
              </w:rPr>
              <w:t>Number of students awarded the Victorian Pathways Certificate</w:t>
            </w:r>
          </w:p>
        </w:tc>
        <w:tc>
          <w:tcPr>
            <w:tcW w:w="2438" w:type="dxa"/>
            <w:tcBorders>
              <w:top w:val="single" w:sz="4" w:space="0" w:color="FFFFFF" w:themeColor="background1"/>
              <w:bottom w:val="single" w:sz="4" w:space="0" w:color="FFFFFF" w:themeColor="background1"/>
            </w:tcBorders>
            <w:shd w:val="clear" w:color="auto" w:fill="FFC000"/>
            <w:tcMar>
              <w:top w:w="57" w:type="dxa"/>
            </w:tcMar>
            <w:vAlign w:val="center"/>
          </w:tcPr>
          <w:p w:rsidR="00392029" w:rsidRPr="001E6562" w:rsidP="006525CF">
            <w:pPr>
              <w:pStyle w:val="ESBodyText0"/>
              <w:spacing w:line="240" w:lineRule="auto"/>
              <w:jc w:val="center"/>
            </w:pPr>
            <w:r>
              <w:t>NDP</w:t>
            </w:r>
          </w:p>
        </w:tc>
      </w:tr>
      <w:tr w:rsidTr="006525CF">
        <w:tblPrEx>
          <w:tblW w:w="0" w:type="auto"/>
          <w:tblLook w:val="04A0"/>
        </w:tblPrEx>
        <w:trPr>
          <w:trHeight w:hRule="exact" w:val="567"/>
        </w:trPr>
        <w:tc>
          <w:tcPr>
            <w:tcW w:w="6294" w:type="dxa"/>
            <w:tcMar>
              <w:top w:w="57" w:type="dxa"/>
            </w:tcMar>
            <w:vAlign w:val="center"/>
          </w:tcPr>
          <w:p w:rsidR="00392029" w:rsidP="006525CF">
            <w:pPr>
              <w:pStyle w:val="ESBodyText0"/>
              <w:spacing w:line="240" w:lineRule="auto"/>
            </w:pPr>
            <w:r>
              <w:rPr>
                <w:rFonts w:eastAsia="Times New Roman"/>
                <w:color w:val="000000"/>
                <w:lang w:eastAsia="en-AU"/>
              </w:rPr>
              <w:t xml:space="preserve">Percentage </w:t>
            </w:r>
            <w:r w:rsidRPr="00B20393">
              <w:rPr>
                <w:rFonts w:eastAsia="Times New Roman"/>
                <w:color w:val="000000"/>
                <w:lang w:eastAsia="en-AU"/>
              </w:rPr>
              <w:t>Year 12 students in 202</w:t>
            </w:r>
            <w:r>
              <w:rPr>
                <w:rFonts w:eastAsia="Times New Roman"/>
                <w:color w:val="000000"/>
                <w:lang w:eastAsia="en-AU"/>
              </w:rPr>
              <w:t>3</w:t>
            </w:r>
            <w:r w:rsidRPr="00B20393">
              <w:rPr>
                <w:rFonts w:eastAsia="Times New Roman"/>
                <w:color w:val="000000"/>
                <w:lang w:eastAsia="en-AU"/>
              </w:rPr>
              <w:t xml:space="preserve"> undertaking at least one Vocational Education and Training (VET) unit of competence:</w:t>
            </w:r>
          </w:p>
        </w:tc>
        <w:tc>
          <w:tcPr>
            <w:tcW w:w="2438" w:type="dxa"/>
            <w:tcBorders>
              <w:top w:val="single" w:sz="4" w:space="0" w:color="FFFFFF" w:themeColor="background1"/>
              <w:bottom w:val="single" w:sz="4" w:space="0" w:color="FFFFFF" w:themeColor="background1"/>
            </w:tcBorders>
            <w:shd w:val="clear" w:color="auto" w:fill="FFC000"/>
            <w:tcMar>
              <w:top w:w="57" w:type="dxa"/>
            </w:tcMar>
            <w:vAlign w:val="center"/>
          </w:tcPr>
          <w:p w:rsidR="00392029" w:rsidP="006525CF">
            <w:pPr>
              <w:pStyle w:val="ESBodyText0"/>
              <w:spacing w:line="240" w:lineRule="auto"/>
              <w:jc w:val="center"/>
            </w:pPr>
            <w:r>
              <w:t xml:space="preserve"> 31%</w:t>
            </w:r>
          </w:p>
        </w:tc>
      </w:tr>
      <w:tr w:rsidTr="006525CF">
        <w:tblPrEx>
          <w:tblW w:w="0" w:type="auto"/>
          <w:tblLook w:val="04A0"/>
        </w:tblPrEx>
        <w:trPr>
          <w:trHeight w:hRule="exact" w:val="567"/>
        </w:trPr>
        <w:tc>
          <w:tcPr>
            <w:tcW w:w="6294" w:type="dxa"/>
            <w:tcMar>
              <w:top w:w="57" w:type="dxa"/>
            </w:tcMar>
            <w:vAlign w:val="center"/>
          </w:tcPr>
          <w:p w:rsidR="00392029" w:rsidP="006525CF">
            <w:pPr>
              <w:pStyle w:val="ESBodyText0"/>
              <w:spacing w:line="240" w:lineRule="auto"/>
            </w:pPr>
            <w:r>
              <w:rPr>
                <w:rFonts w:eastAsia="Times New Roman"/>
                <w:color w:val="000000"/>
                <w:lang w:eastAsia="en-AU"/>
              </w:rPr>
              <w:t xml:space="preserve">Percentage </w:t>
            </w:r>
            <w:r w:rsidRPr="00B20393">
              <w:rPr>
                <w:rFonts w:eastAsia="Times New Roman"/>
                <w:color w:val="000000"/>
                <w:lang w:eastAsia="en-AU"/>
              </w:rPr>
              <w:t>VET units of competence satisfactorily completed in 202</w:t>
            </w:r>
            <w:r w:rsidR="003504E4">
              <w:rPr>
                <w:rFonts w:eastAsia="Times New Roman"/>
                <w:color w:val="000000"/>
                <w:lang w:eastAsia="en-AU"/>
              </w:rPr>
              <w:t>3</w:t>
            </w:r>
            <w:r w:rsidRPr="00B20393">
              <w:rPr>
                <w:rFonts w:eastAsia="Times New Roman"/>
                <w:color w:val="000000"/>
                <w:lang w:eastAsia="en-AU"/>
              </w:rPr>
              <w:t>:</w:t>
            </w:r>
          </w:p>
        </w:tc>
        <w:tc>
          <w:tcPr>
            <w:tcW w:w="2438" w:type="dxa"/>
            <w:tcBorders>
              <w:top w:val="single" w:sz="4" w:space="0" w:color="FFFFFF" w:themeColor="background1"/>
            </w:tcBorders>
            <w:shd w:val="clear" w:color="auto" w:fill="FFC000"/>
            <w:tcMar>
              <w:top w:w="57" w:type="dxa"/>
            </w:tcMar>
            <w:vAlign w:val="center"/>
          </w:tcPr>
          <w:p w:rsidR="00392029" w:rsidP="006525CF">
            <w:pPr>
              <w:pStyle w:val="ESBodyText0"/>
              <w:spacing w:line="240" w:lineRule="auto"/>
              <w:jc w:val="center"/>
            </w:pPr>
            <w:r>
              <w:t xml:space="preserve"> 67%</w:t>
            </w:r>
          </w:p>
        </w:tc>
      </w:tr>
    </w:tbl>
    <w:p w:rsidR="005B6BD9" w:rsidP="006A4059">
      <w:pPr>
        <w:pStyle w:val="ESBodyText0"/>
        <w:spacing w:line="240" w:lineRule="auto"/>
      </w:pPr>
      <w:r>
        <w:rPr>
          <w:noProof/>
        </w:rPr>
        <mc:AlternateContent>
          <mc:Choice Requires="wps">
            <w:drawing>
              <wp:anchor distT="0" distB="0" distL="114300" distR="114300" simplePos="0" relativeHeight="251670528" behindDoc="0" locked="0" layoutInCell="1" allowOverlap="1">
                <wp:simplePos x="0" y="0"/>
                <wp:positionH relativeFrom="margin">
                  <wp:posOffset>-28575</wp:posOffset>
                </wp:positionH>
                <wp:positionV relativeFrom="paragraph">
                  <wp:posOffset>37465</wp:posOffset>
                </wp:positionV>
                <wp:extent cx="6819900" cy="390525"/>
                <wp:effectExtent l="0" t="0" r="0" b="9525"/>
                <wp:wrapNone/>
                <wp:docPr id="32770"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19900" cy="390525"/>
                        </a:xfrm>
                        <a:prstGeom prst="rect">
                          <a:avLst/>
                        </a:prstGeom>
                        <a:solidFill>
                          <a:schemeClr val="lt1"/>
                        </a:solidFill>
                        <a:ln w="6350">
                          <a:noFill/>
                        </a:ln>
                      </wps:spPr>
                      <wps:txbx>
                        <w:txbxContent>
                          <w:p w:rsidR="0030557D" w:rsidRPr="00D37F6E" w:rsidP="002E262E">
                            <w:pPr>
                              <w:pStyle w:val="ListParagraph"/>
                              <w:ind w:left="142"/>
                              <w:rPr>
                                <w:i/>
                                <w:iCs/>
                                <w:lang w:val="en-A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3" o:spid="_x0000_s1026" type="#_x0000_t202" alt="&quot;&quot;" style="height:30.75pt;margin-left:-2.25pt;margin-top:2.95pt;mso-height-percent:0;mso-height-relative:margin;mso-position-horizontal-relative:margin;mso-width-percent:0;mso-width-relative:margin;mso-wrap-distance-bottom:0;mso-wrap-distance-left:9pt;mso-wrap-distance-right:9pt;mso-wrap-distance-top:0;mso-wrap-style:square;position:absolute;v-text-anchor:top;visibility:visible;width:537pt;z-index:251671552" fillcolor="white" stroked="f" strokeweight="0.5pt">
                <v:textbox>
                  <w:txbxContent>
                    <w:p w:rsidR="0030557D" w:rsidRPr="00D37F6E" w:rsidP="002E262E">
                      <w:pPr>
                        <w:pStyle w:val="ListParagraph"/>
                        <w:ind w:left="142"/>
                        <w:rPr>
                          <w:i/>
                          <w:iCs/>
                          <w:lang w:val="en-AU"/>
                        </w:rPr>
                      </w:pPr>
                    </w:p>
                  </w:txbxContent>
                </v:textbox>
                <w10:wrap anchorx="margin"/>
              </v:shape>
            </w:pict>
          </mc:Fallback>
        </mc:AlternateContent>
      </w:r>
    </w:p>
    <w:p w:rsidR="005B6BD9">
      <w:pPr>
        <w:spacing w:after="0" w:line="240" w:lineRule="auto"/>
      </w:pPr>
    </w:p>
    <w:p w:rsidR="0030557D">
      <w:pPr>
        <w:spacing w:after="0" w:line="240" w:lineRule="auto"/>
      </w:pPr>
    </w:p>
    <w:p w:rsidR="0030557D">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EA259E">
      <w:pPr>
        <w:spacing w:after="0" w:line="240" w:lineRule="auto"/>
      </w:pPr>
    </w:p>
    <w:p w:rsidR="00EA259E">
      <w:pPr>
        <w:spacing w:after="0" w:line="240" w:lineRule="auto"/>
      </w:pPr>
    </w:p>
    <w:p w:rsidR="00EA259E">
      <w:pPr>
        <w:spacing w:after="0" w:line="240" w:lineRule="auto"/>
      </w:pPr>
    </w:p>
    <w:p w:rsidR="00EA259E">
      <w:pPr>
        <w:spacing w:after="0" w:line="240" w:lineRule="auto"/>
      </w:pPr>
    </w:p>
    <w:p w:rsidR="00EA259E">
      <w:pPr>
        <w:spacing w:after="0" w:line="240" w:lineRule="auto"/>
      </w:pPr>
    </w:p>
    <w:p w:rsidR="00EA259E">
      <w:pPr>
        <w:spacing w:after="0" w:line="240" w:lineRule="auto"/>
      </w:pPr>
    </w:p>
    <w:p w:rsidR="00EA259E">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rsidP="007F1B5B">
      <w:pPr>
        <w:pStyle w:val="Style10"/>
      </w:pPr>
      <w:r>
        <w:t>WELLBEING</w:t>
      </w:r>
    </w:p>
    <w:p w:rsidR="007F1B5B" w:rsidP="007F1B5B">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r>
        <w:rPr>
          <w:b/>
          <w:i/>
        </w:rPr>
        <w:t>taking into account</w:t>
      </w:r>
      <w:r>
        <w:rPr>
          <w:b/>
          <w:i/>
        </w:rPr>
        <w:t xml:space="preserve"> the school’s socioeconomic background of students, the number of non-English speaking students and the size and location of the school.</w:t>
      </w:r>
    </w:p>
    <w:p w:rsidR="007F1B5B" w:rsidP="007F1B5B">
      <w:pPr>
        <w:pStyle w:val="ESHeading30"/>
      </w:pPr>
      <w:r>
        <w:t>Student Attitudes to School – Sense of Connectedness</w:t>
      </w:r>
    </w:p>
    <w:p w:rsidR="007F1B5B" w:rsidP="007F1B5B">
      <w:pPr>
        <w:pStyle w:val="ESBodyText0"/>
      </w:pPr>
      <w:r>
        <w:t>The percent</w:t>
      </w:r>
      <w:r w:rsidR="00594C01">
        <w:t>age</w:t>
      </w:r>
      <w:r>
        <w:t xml:space="preserve"> endorsement on Sense of Connectedness factor, as reported in the Attitudes to School Survey completed annually by Victorian government school students, indicates the percent of positive responses (agree or strongly agree).</w:t>
      </w:r>
    </w:p>
    <w:p w:rsidR="007F1B5B" w:rsidP="007F1B5B">
      <w:pPr>
        <w:pStyle w:val="ESBodyText0"/>
      </w:pPr>
      <w:r>
        <w:rPr>
          <w:noProof/>
        </w:rPr>
        <w:drawing>
          <wp:anchor distT="0" distB="0" distL="114300" distR="114300" simplePos="0" relativeHeight="251673600" behindDoc="0" locked="0" layoutInCell="1" allowOverlap="1">
            <wp:simplePos x="0" y="0"/>
            <wp:positionH relativeFrom="column">
              <wp:posOffset>3364229</wp:posOffset>
            </wp:positionH>
            <wp:positionV relativeFrom="paragraph">
              <wp:posOffset>172720</wp:posOffset>
            </wp:positionV>
            <wp:extent cx="3514725" cy="1876425"/>
            <wp:effectExtent l="0" t="0" r="0" b="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1134"/>
        <w:gridCol w:w="1060"/>
      </w:tblGrid>
      <w:tr w:rsidTr="0076049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35" w:type="dxa"/>
            <w:vAlign w:val="bottom"/>
          </w:tcPr>
          <w:p w:rsidR="007F1B5B" w:rsidP="00760492">
            <w:pPr>
              <w:spacing w:after="0" w:line="240" w:lineRule="auto"/>
              <w:rPr>
                <w:rFonts w:eastAsia="Times New Roman"/>
                <w:b/>
                <w:bCs/>
                <w:color w:val="000000"/>
                <w:lang w:val="en-AU" w:eastAsia="en-AU"/>
              </w:rPr>
            </w:pPr>
            <w:r w:rsidRPr="006F0563">
              <w:rPr>
                <w:rFonts w:eastAsia="Times New Roman"/>
                <w:b/>
                <w:bCs/>
                <w:color w:val="000000"/>
                <w:lang w:val="en-AU" w:eastAsia="en-AU"/>
              </w:rPr>
              <w:t>S</w:t>
            </w:r>
            <w:r>
              <w:rPr>
                <w:rFonts w:eastAsia="Times New Roman"/>
                <w:b/>
                <w:bCs/>
                <w:color w:val="000000"/>
                <w:lang w:val="en-AU" w:eastAsia="en-AU"/>
              </w:rPr>
              <w:t>ense of Connectedness</w:t>
            </w:r>
          </w:p>
          <w:p w:rsidR="007F1B5B" w:rsidRPr="00B20B33" w:rsidP="00760492">
            <w:pPr>
              <w:pStyle w:val="ESBodyText0"/>
              <w:spacing w:line="240" w:lineRule="auto"/>
              <w:rPr>
                <w:b/>
                <w:bCs/>
              </w:rPr>
            </w:pPr>
            <w:r>
              <w:rPr>
                <w:rFonts w:eastAsia="Times New Roman"/>
                <w:b/>
                <w:bCs/>
                <w:color w:val="000000"/>
                <w:lang w:val="en-AU" w:eastAsia="en-AU"/>
              </w:rPr>
              <w:t>Years 7 to 12</w:t>
            </w:r>
          </w:p>
        </w:tc>
        <w:tc>
          <w:tcPr>
            <w:tcW w:w="1134" w:type="dxa"/>
            <w:vAlign w:val="bottom"/>
          </w:tcPr>
          <w:p w:rsidR="007F1B5B" w:rsidP="00760492">
            <w:pPr>
              <w:pStyle w:val="ESBodyText0"/>
              <w:spacing w:line="240" w:lineRule="auto"/>
              <w:jc w:val="center"/>
            </w:pPr>
            <w:r>
              <w:t>Latest year (202</w:t>
            </w:r>
            <w:r w:rsidR="00594C01">
              <w:t>3</w:t>
            </w:r>
            <w:r>
              <w:t>)</w:t>
            </w:r>
          </w:p>
        </w:tc>
        <w:tc>
          <w:tcPr>
            <w:tcW w:w="1060" w:type="dxa"/>
            <w:vAlign w:val="bottom"/>
          </w:tcPr>
          <w:p w:rsidR="007F1B5B" w:rsidP="00760492">
            <w:pPr>
              <w:pStyle w:val="ESBodyText0"/>
              <w:spacing w:line="240" w:lineRule="auto"/>
              <w:jc w:val="center"/>
            </w:pPr>
            <w:r>
              <w:t>4-year average</w:t>
            </w:r>
          </w:p>
        </w:tc>
      </w:tr>
      <w:tr w:rsidTr="00760492">
        <w:tblPrEx>
          <w:tblW w:w="0" w:type="auto"/>
          <w:tblLayout w:type="fixed"/>
          <w:tblLook w:val="04A0"/>
        </w:tblPrEx>
        <w:trPr>
          <w:trHeight w:hRule="exact" w:val="567"/>
        </w:trPr>
        <w:tc>
          <w:tcPr>
            <w:tcW w:w="2835" w:type="dxa"/>
            <w:tcMar>
              <w:top w:w="57" w:type="dxa"/>
            </w:tcMar>
            <w:vAlign w:val="center"/>
          </w:tcPr>
          <w:p w:rsidR="007F1B5B" w:rsidP="00760492">
            <w:pPr>
              <w:pStyle w:val="ESBodyText0"/>
              <w:spacing w:line="240" w:lineRule="auto"/>
            </w:pPr>
            <w:r>
              <w:t>School percent</w:t>
            </w:r>
            <w:r w:rsidR="00594C01">
              <w:t>age</w:t>
            </w:r>
            <w:r>
              <w:t xml:space="preserve"> endorsement:</w:t>
            </w:r>
          </w:p>
        </w:tc>
        <w:tc>
          <w:tcPr>
            <w:tcW w:w="1134" w:type="dxa"/>
            <w:tcBorders>
              <w:bottom w:val="single" w:sz="4" w:space="0" w:color="FFFFFF" w:themeColor="background1"/>
            </w:tcBorders>
            <w:shd w:val="clear" w:color="auto" w:fill="FFC000"/>
            <w:tcMar>
              <w:top w:w="57" w:type="dxa"/>
            </w:tcMar>
            <w:vAlign w:val="center"/>
          </w:tcPr>
          <w:p w:rsidR="007F1B5B" w:rsidP="00760492">
            <w:pPr>
              <w:pStyle w:val="ESBodyText0"/>
              <w:spacing w:line="240" w:lineRule="auto"/>
              <w:jc w:val="center"/>
            </w:pPr>
            <w:r>
              <w:t>43.0%</w:t>
            </w:r>
          </w:p>
        </w:tc>
        <w:tc>
          <w:tcPr>
            <w:tcW w:w="1060" w:type="dxa"/>
            <w:tcBorders>
              <w:bottom w:val="single" w:sz="4" w:space="0" w:color="FFFFFF" w:themeColor="background1"/>
            </w:tcBorders>
            <w:shd w:val="clear" w:color="auto" w:fill="FFC000"/>
            <w:tcMar>
              <w:top w:w="57" w:type="dxa"/>
            </w:tcMar>
            <w:vAlign w:val="center"/>
          </w:tcPr>
          <w:p w:rsidR="007F1B5B" w:rsidP="00760492">
            <w:pPr>
              <w:pStyle w:val="ESBodyText0"/>
              <w:spacing w:line="240" w:lineRule="auto"/>
              <w:jc w:val="center"/>
            </w:pPr>
            <w:r>
              <w:t>47.0%</w:t>
            </w:r>
          </w:p>
        </w:tc>
      </w:tr>
      <w:tr w:rsidTr="00760492">
        <w:tblPrEx>
          <w:tblW w:w="0" w:type="auto"/>
          <w:tblLayout w:type="fixed"/>
          <w:tblLook w:val="04A0"/>
        </w:tblPrEx>
        <w:trPr>
          <w:trHeight w:hRule="exact" w:val="567"/>
        </w:trPr>
        <w:tc>
          <w:tcPr>
            <w:tcW w:w="2835" w:type="dxa"/>
            <w:tcMar>
              <w:top w:w="57" w:type="dxa"/>
            </w:tcMar>
            <w:vAlign w:val="center"/>
          </w:tcPr>
          <w:p w:rsidR="007F1B5B" w:rsidP="00760492">
            <w:pPr>
              <w:pStyle w:val="ESBodyText0"/>
              <w:spacing w:line="240" w:lineRule="auto"/>
            </w:pPr>
            <w:r>
              <w:t>Similar Schools average: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rsidR="007F1B5B" w:rsidRPr="00B20B33" w:rsidP="00760492">
            <w:pPr>
              <w:pStyle w:val="ESBodyText0"/>
              <w:spacing w:line="240" w:lineRule="auto"/>
              <w:jc w:val="center"/>
              <w:rPr>
                <w:color w:val="FFFFFF" w:themeColor="background1"/>
              </w:rPr>
            </w:pPr>
            <w:r>
              <w:rPr>
                <w:color w:val="FFFFFF" w:themeColor="background1"/>
              </w:rPr>
              <w:t>45.5%</w:t>
            </w:r>
          </w:p>
        </w:tc>
        <w:tc>
          <w:tcPr>
            <w:tcW w:w="1060" w:type="dxa"/>
            <w:tcBorders>
              <w:top w:val="single" w:sz="4" w:space="0" w:color="FFFFFF" w:themeColor="background1"/>
              <w:bottom w:val="single" w:sz="4" w:space="0" w:color="FFFFFF" w:themeColor="background1"/>
            </w:tcBorders>
            <w:shd w:val="clear" w:color="auto" w:fill="7030A0"/>
            <w:tcMar>
              <w:top w:w="57" w:type="dxa"/>
            </w:tcMar>
            <w:vAlign w:val="center"/>
          </w:tcPr>
          <w:p w:rsidR="007F1B5B" w:rsidRPr="00B20B33" w:rsidP="00760492">
            <w:pPr>
              <w:pStyle w:val="ESBodyText0"/>
              <w:spacing w:line="240" w:lineRule="auto"/>
              <w:jc w:val="center"/>
              <w:rPr>
                <w:color w:val="FFFFFF" w:themeColor="background1"/>
              </w:rPr>
            </w:pPr>
            <w:r>
              <w:rPr>
                <w:color w:val="FFFFFF" w:themeColor="background1"/>
              </w:rPr>
              <w:t>50.6%</w:t>
            </w:r>
          </w:p>
        </w:tc>
      </w:tr>
      <w:tr w:rsidTr="00760492">
        <w:tblPrEx>
          <w:tblW w:w="0" w:type="auto"/>
          <w:tblLayout w:type="fixed"/>
          <w:tblLook w:val="04A0"/>
        </w:tblPrEx>
        <w:trPr>
          <w:trHeight w:hRule="exact" w:val="567"/>
        </w:trPr>
        <w:tc>
          <w:tcPr>
            <w:tcW w:w="2835" w:type="dxa"/>
            <w:tcMar>
              <w:top w:w="57" w:type="dxa"/>
            </w:tcMar>
            <w:vAlign w:val="center"/>
          </w:tcPr>
          <w:p w:rsidR="007F1B5B" w:rsidP="00760492">
            <w:pPr>
              <w:pStyle w:val="ESBodyText0"/>
              <w:spacing w:line="240" w:lineRule="auto"/>
            </w:pPr>
            <w:r>
              <w:t>State average:</w:t>
            </w:r>
          </w:p>
        </w:tc>
        <w:tc>
          <w:tcPr>
            <w:tcW w:w="1134" w:type="dxa"/>
            <w:tcBorders>
              <w:top w:val="single" w:sz="4" w:space="0" w:color="FFFFFF" w:themeColor="background1"/>
            </w:tcBorders>
            <w:shd w:val="clear" w:color="auto" w:fill="A6A6A6" w:themeFill="background1" w:themeFillShade="A6"/>
            <w:tcMar>
              <w:top w:w="57" w:type="dxa"/>
            </w:tcMar>
            <w:vAlign w:val="center"/>
          </w:tcPr>
          <w:p w:rsidR="007F1B5B" w:rsidP="00760492">
            <w:pPr>
              <w:pStyle w:val="ESBodyText0"/>
              <w:spacing w:line="240" w:lineRule="auto"/>
              <w:jc w:val="center"/>
            </w:pPr>
            <w:r>
              <w:t>45.3%</w:t>
            </w:r>
          </w:p>
        </w:tc>
        <w:tc>
          <w:tcPr>
            <w:tcW w:w="1060" w:type="dxa"/>
            <w:tcBorders>
              <w:top w:val="single" w:sz="4" w:space="0" w:color="FFFFFF" w:themeColor="background1"/>
            </w:tcBorders>
            <w:shd w:val="clear" w:color="auto" w:fill="A6A6A6" w:themeFill="background1" w:themeFillShade="A6"/>
            <w:tcMar>
              <w:top w:w="57" w:type="dxa"/>
            </w:tcMar>
            <w:vAlign w:val="center"/>
          </w:tcPr>
          <w:p w:rsidR="007F1B5B" w:rsidP="00760492">
            <w:pPr>
              <w:pStyle w:val="ESBodyText0"/>
              <w:spacing w:line="240" w:lineRule="auto"/>
              <w:jc w:val="center"/>
            </w:pPr>
            <w:r>
              <w:t>49.9%</w:t>
            </w:r>
          </w:p>
        </w:tc>
      </w:tr>
    </w:tbl>
    <w:p w:rsidR="007F1B5B" w:rsidP="007F1B5B">
      <w:pPr>
        <w:pStyle w:val="ESBodyText0"/>
      </w:pPr>
      <w:r>
        <w:rPr>
          <w:noProof/>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1270</wp:posOffset>
                </wp:positionV>
                <wp:extent cx="3686175" cy="857250"/>
                <wp:effectExtent l="0" t="0" r="9525" b="0"/>
                <wp:wrapNone/>
                <wp:docPr id="3277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6175" cy="857250"/>
                        </a:xfrm>
                        <a:prstGeom prst="rect">
                          <a:avLst/>
                        </a:prstGeom>
                        <a:solidFill>
                          <a:schemeClr val="lt1"/>
                        </a:solidFill>
                        <a:ln w="6350">
                          <a:noFill/>
                        </a:ln>
                      </wps:spPr>
                      <wps:txbx>
                        <w:txbxContent>
                          <w:p w:rsidR="007F1B5B" w:rsidRPr="00A55216" w:rsidP="007F1B5B">
                            <w:pPr>
                              <w:rPr>
                                <w:i/>
                                <w:iCs/>
                                <w:lang w:val="en-A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7" o:spid="_x0000_s1027" type="#_x0000_t202" alt="&quot;&quot;" style="height:67.5pt;margin-left:0;margin-top:0.1pt;mso-height-percent:0;mso-height-relative:margin;mso-position-horizontal:left;mso-position-horizontal-relative:margin;mso-width-percent:0;mso-width-relative:margin;mso-wrap-distance-bottom:0;mso-wrap-distance-left:9pt;mso-wrap-distance-right:9pt;mso-wrap-distance-top:0;mso-wrap-style:square;position:absolute;v-text-anchor:top;visibility:visible;width:290.25pt;z-index:251675648" fillcolor="white" stroked="f" strokeweight="0.5pt">
                <v:textbox>
                  <w:txbxContent>
                    <w:p w:rsidR="007F1B5B" w:rsidRPr="00A55216" w:rsidP="007F1B5B">
                      <w:pPr>
                        <w:rPr>
                          <w:i/>
                          <w:iCs/>
                          <w:lang w:val="en-AU"/>
                        </w:rPr>
                      </w:pPr>
                    </w:p>
                  </w:txbxContent>
                </v:textbox>
                <w10:wrap anchorx="margin"/>
              </v:shape>
            </w:pict>
          </mc:Fallback>
        </mc:AlternateContent>
      </w:r>
    </w:p>
    <w:p w:rsidR="007F1B5B" w:rsidP="007F1B5B">
      <w:pPr>
        <w:pStyle w:val="ESBodyText0"/>
      </w:pPr>
    </w:p>
    <w:p w:rsidR="007F1B5B" w:rsidP="007F1B5B">
      <w:pPr>
        <w:pStyle w:val="ESBodyText0"/>
        <w:spacing w:after="0" w:line="240" w:lineRule="auto"/>
      </w:pPr>
    </w:p>
    <w:p w:rsidR="007F1B5B" w:rsidP="007F1B5B">
      <w:pPr>
        <w:pStyle w:val="ESBodyText0"/>
        <w:spacing w:after="0" w:line="240" w:lineRule="auto"/>
      </w:pPr>
    </w:p>
    <w:p w:rsidR="007F1B5B" w:rsidP="007F1B5B">
      <w:pPr>
        <w:pStyle w:val="ESHeading30"/>
        <w:spacing w:before="120"/>
      </w:pPr>
    </w:p>
    <w:p w:rsidR="007F1B5B" w:rsidP="007F1B5B">
      <w:pPr>
        <w:pStyle w:val="ESHeading30"/>
      </w:pPr>
      <w:r>
        <w:t>Student Attitudes to School – Management of Bullying</w:t>
      </w:r>
    </w:p>
    <w:p w:rsidR="007F1B5B" w:rsidP="007F1B5B">
      <w:pPr>
        <w:pStyle w:val="ESBodyText0"/>
      </w:pPr>
      <w:r>
        <w:t>The percent</w:t>
      </w:r>
      <w:r w:rsidR="00BC6BE7">
        <w:t>age</w:t>
      </w:r>
      <w:r>
        <w:t xml:space="preserve"> endorsement on Management of Bullying factor, as reported in the Attitudes to School Survey completed annually by Victorian government school students, indicates the percent of positive responses (agree or strongly agree).</w:t>
      </w:r>
    </w:p>
    <w:p w:rsidR="007F1B5B" w:rsidP="007F1B5B">
      <w:pPr>
        <w:pStyle w:val="ESBodyText0"/>
      </w:pPr>
      <w:r>
        <w:rPr>
          <w:noProof/>
        </w:rPr>
        <w:drawing>
          <wp:anchor distT="0" distB="0" distL="114300" distR="114300" simplePos="0" relativeHeight="251672576" behindDoc="0" locked="0" layoutInCell="1" allowOverlap="1">
            <wp:simplePos x="0" y="0"/>
            <wp:positionH relativeFrom="column">
              <wp:posOffset>3364229</wp:posOffset>
            </wp:positionH>
            <wp:positionV relativeFrom="paragraph">
              <wp:posOffset>167005</wp:posOffset>
            </wp:positionV>
            <wp:extent cx="3514725" cy="1876425"/>
            <wp:effectExtent l="0" t="0" r="0" b="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5"/>
        <w:gridCol w:w="1134"/>
        <w:gridCol w:w="1060"/>
      </w:tblGrid>
      <w:tr w:rsidTr="0076049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35" w:type="dxa"/>
            <w:vAlign w:val="bottom"/>
          </w:tcPr>
          <w:p w:rsidR="007F1B5B" w:rsidP="00760492">
            <w:pPr>
              <w:spacing w:after="0" w:line="240" w:lineRule="auto"/>
              <w:rPr>
                <w:rFonts w:eastAsia="Times New Roman"/>
                <w:b/>
                <w:bCs/>
                <w:color w:val="000000"/>
                <w:lang w:val="en-AU" w:eastAsia="en-AU"/>
              </w:rPr>
            </w:pPr>
            <w:r>
              <w:rPr>
                <w:rFonts w:eastAsia="Times New Roman"/>
                <w:b/>
                <w:bCs/>
                <w:color w:val="000000"/>
                <w:lang w:val="en-AU" w:eastAsia="en-AU"/>
              </w:rPr>
              <w:t>Management of Bullying</w:t>
            </w:r>
          </w:p>
          <w:p w:rsidR="007F1B5B" w:rsidRPr="00B20B33" w:rsidP="00760492">
            <w:pPr>
              <w:pStyle w:val="ESBodyText0"/>
              <w:spacing w:line="240" w:lineRule="auto"/>
              <w:rPr>
                <w:b/>
                <w:bCs/>
              </w:rPr>
            </w:pPr>
            <w:r>
              <w:rPr>
                <w:rFonts w:eastAsia="Times New Roman"/>
                <w:b/>
                <w:bCs/>
                <w:color w:val="000000"/>
                <w:lang w:val="en-AU" w:eastAsia="en-AU"/>
              </w:rPr>
              <w:t>Years 7 to 12</w:t>
            </w:r>
          </w:p>
        </w:tc>
        <w:tc>
          <w:tcPr>
            <w:tcW w:w="1134" w:type="dxa"/>
            <w:vAlign w:val="bottom"/>
          </w:tcPr>
          <w:p w:rsidR="007F1B5B" w:rsidP="00760492">
            <w:pPr>
              <w:pStyle w:val="ESBodyText0"/>
              <w:spacing w:line="240" w:lineRule="auto"/>
              <w:jc w:val="center"/>
            </w:pPr>
            <w:r>
              <w:t>Latest year (202</w:t>
            </w:r>
            <w:r w:rsidR="00594C01">
              <w:t>3</w:t>
            </w:r>
            <w:r>
              <w:t>)</w:t>
            </w:r>
          </w:p>
        </w:tc>
        <w:tc>
          <w:tcPr>
            <w:tcW w:w="1060" w:type="dxa"/>
            <w:vAlign w:val="bottom"/>
          </w:tcPr>
          <w:p w:rsidR="007F1B5B" w:rsidP="00760492">
            <w:pPr>
              <w:pStyle w:val="ESBodyText0"/>
              <w:spacing w:line="240" w:lineRule="auto"/>
              <w:jc w:val="center"/>
            </w:pPr>
            <w:r>
              <w:t>4-year average</w:t>
            </w:r>
          </w:p>
        </w:tc>
      </w:tr>
      <w:tr w:rsidTr="00760492">
        <w:tblPrEx>
          <w:tblW w:w="0" w:type="auto"/>
          <w:tblLayout w:type="fixed"/>
          <w:tblLook w:val="04A0"/>
        </w:tblPrEx>
        <w:trPr>
          <w:trHeight w:hRule="exact" w:val="567"/>
        </w:trPr>
        <w:tc>
          <w:tcPr>
            <w:tcW w:w="2835" w:type="dxa"/>
            <w:tcMar>
              <w:top w:w="57" w:type="dxa"/>
            </w:tcMar>
            <w:vAlign w:val="center"/>
          </w:tcPr>
          <w:p w:rsidR="007F1B5B" w:rsidP="00760492">
            <w:pPr>
              <w:pStyle w:val="ESBodyText0"/>
              <w:spacing w:line="240" w:lineRule="auto"/>
            </w:pPr>
            <w:r>
              <w:t>School percent</w:t>
            </w:r>
            <w:r w:rsidR="00594C01">
              <w:t>age</w:t>
            </w:r>
            <w:r>
              <w:t xml:space="preserve"> endorsement:</w:t>
            </w:r>
          </w:p>
        </w:tc>
        <w:tc>
          <w:tcPr>
            <w:tcW w:w="1134" w:type="dxa"/>
            <w:tcBorders>
              <w:bottom w:val="single" w:sz="4" w:space="0" w:color="FFFFFF" w:themeColor="background1"/>
            </w:tcBorders>
            <w:shd w:val="clear" w:color="auto" w:fill="FFC000"/>
            <w:tcMar>
              <w:top w:w="57" w:type="dxa"/>
            </w:tcMar>
            <w:vAlign w:val="center"/>
          </w:tcPr>
          <w:p w:rsidR="007F1B5B" w:rsidP="00760492">
            <w:pPr>
              <w:pStyle w:val="ESBodyText0"/>
              <w:spacing w:line="240" w:lineRule="auto"/>
              <w:jc w:val="center"/>
            </w:pPr>
            <w:r>
              <w:t>44.7%</w:t>
            </w:r>
          </w:p>
        </w:tc>
        <w:tc>
          <w:tcPr>
            <w:tcW w:w="1060" w:type="dxa"/>
            <w:tcBorders>
              <w:bottom w:val="single" w:sz="4" w:space="0" w:color="FFFFFF" w:themeColor="background1"/>
            </w:tcBorders>
            <w:shd w:val="clear" w:color="auto" w:fill="FFC000"/>
            <w:tcMar>
              <w:top w:w="57" w:type="dxa"/>
            </w:tcMar>
            <w:vAlign w:val="center"/>
          </w:tcPr>
          <w:p w:rsidR="007F1B5B" w:rsidP="00760492">
            <w:pPr>
              <w:pStyle w:val="ESBodyText0"/>
              <w:spacing w:line="240" w:lineRule="auto"/>
              <w:jc w:val="center"/>
            </w:pPr>
            <w:r>
              <w:t>47.3%</w:t>
            </w:r>
          </w:p>
        </w:tc>
      </w:tr>
      <w:tr w:rsidTr="00760492">
        <w:tblPrEx>
          <w:tblW w:w="0" w:type="auto"/>
          <w:tblLayout w:type="fixed"/>
          <w:tblLook w:val="04A0"/>
        </w:tblPrEx>
        <w:trPr>
          <w:trHeight w:hRule="exact" w:val="567"/>
        </w:trPr>
        <w:tc>
          <w:tcPr>
            <w:tcW w:w="2835" w:type="dxa"/>
            <w:tcMar>
              <w:top w:w="57" w:type="dxa"/>
            </w:tcMar>
            <w:vAlign w:val="center"/>
          </w:tcPr>
          <w:p w:rsidR="007F1B5B" w:rsidP="00760492">
            <w:pPr>
              <w:pStyle w:val="ESBodyText0"/>
              <w:spacing w:line="240" w:lineRule="auto"/>
            </w:pPr>
            <w:r>
              <w:t>Similar Schools average: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rsidR="007F1B5B" w:rsidRPr="00B20B33" w:rsidP="00760492">
            <w:pPr>
              <w:pStyle w:val="ESBodyText0"/>
              <w:spacing w:line="240" w:lineRule="auto"/>
              <w:jc w:val="center"/>
              <w:rPr>
                <w:color w:val="FFFFFF" w:themeColor="background1"/>
              </w:rPr>
            </w:pPr>
            <w:r>
              <w:rPr>
                <w:color w:val="FFFFFF" w:themeColor="background1"/>
              </w:rPr>
              <w:t>46.7%</w:t>
            </w:r>
          </w:p>
        </w:tc>
        <w:tc>
          <w:tcPr>
            <w:tcW w:w="1060" w:type="dxa"/>
            <w:tcBorders>
              <w:top w:val="single" w:sz="4" w:space="0" w:color="FFFFFF" w:themeColor="background1"/>
              <w:bottom w:val="single" w:sz="4" w:space="0" w:color="FFFFFF" w:themeColor="background1"/>
            </w:tcBorders>
            <w:shd w:val="clear" w:color="auto" w:fill="7030A0"/>
            <w:tcMar>
              <w:top w:w="57" w:type="dxa"/>
            </w:tcMar>
            <w:vAlign w:val="center"/>
          </w:tcPr>
          <w:p w:rsidR="007F1B5B" w:rsidRPr="00B20B33" w:rsidP="00760492">
            <w:pPr>
              <w:pStyle w:val="ESBodyText0"/>
              <w:spacing w:line="240" w:lineRule="auto"/>
              <w:jc w:val="center"/>
              <w:rPr>
                <w:color w:val="FFFFFF" w:themeColor="background1"/>
              </w:rPr>
            </w:pPr>
            <w:r>
              <w:rPr>
                <w:color w:val="FFFFFF" w:themeColor="background1"/>
              </w:rPr>
              <w:t>51.4%</w:t>
            </w:r>
          </w:p>
        </w:tc>
      </w:tr>
      <w:tr w:rsidTr="00760492">
        <w:tblPrEx>
          <w:tblW w:w="0" w:type="auto"/>
          <w:tblLayout w:type="fixed"/>
          <w:tblLook w:val="04A0"/>
        </w:tblPrEx>
        <w:trPr>
          <w:trHeight w:hRule="exact" w:val="567"/>
        </w:trPr>
        <w:tc>
          <w:tcPr>
            <w:tcW w:w="2835" w:type="dxa"/>
            <w:tcMar>
              <w:top w:w="57" w:type="dxa"/>
            </w:tcMar>
            <w:vAlign w:val="center"/>
          </w:tcPr>
          <w:p w:rsidR="007F1B5B" w:rsidP="00760492">
            <w:pPr>
              <w:pStyle w:val="ESBodyText0"/>
              <w:spacing w:line="240" w:lineRule="auto"/>
            </w:pPr>
            <w:r>
              <w:t>State average:</w:t>
            </w:r>
          </w:p>
        </w:tc>
        <w:tc>
          <w:tcPr>
            <w:tcW w:w="1134" w:type="dxa"/>
            <w:tcBorders>
              <w:top w:val="single" w:sz="4" w:space="0" w:color="FFFFFF" w:themeColor="background1"/>
            </w:tcBorders>
            <w:shd w:val="clear" w:color="auto" w:fill="A6A6A6" w:themeFill="background1" w:themeFillShade="A6"/>
            <w:tcMar>
              <w:top w:w="57" w:type="dxa"/>
            </w:tcMar>
            <w:vAlign w:val="center"/>
          </w:tcPr>
          <w:p w:rsidR="007F1B5B" w:rsidP="00760492">
            <w:pPr>
              <w:pStyle w:val="ESBodyText0"/>
              <w:spacing w:line="240" w:lineRule="auto"/>
              <w:jc w:val="center"/>
            </w:pPr>
            <w:r>
              <w:t>46.6%</w:t>
            </w:r>
          </w:p>
        </w:tc>
        <w:tc>
          <w:tcPr>
            <w:tcW w:w="1060" w:type="dxa"/>
            <w:tcBorders>
              <w:top w:val="single" w:sz="4" w:space="0" w:color="FFFFFF" w:themeColor="background1"/>
            </w:tcBorders>
            <w:shd w:val="clear" w:color="auto" w:fill="A6A6A6" w:themeFill="background1" w:themeFillShade="A6"/>
            <w:tcMar>
              <w:top w:w="57" w:type="dxa"/>
            </w:tcMar>
            <w:vAlign w:val="center"/>
          </w:tcPr>
          <w:p w:rsidR="007F1B5B" w:rsidP="00760492">
            <w:pPr>
              <w:pStyle w:val="ESBodyText0"/>
              <w:spacing w:line="240" w:lineRule="auto"/>
              <w:jc w:val="center"/>
            </w:pPr>
            <w:r>
              <w:t>51.0%</w:t>
            </w:r>
          </w:p>
        </w:tc>
      </w:tr>
    </w:tbl>
    <w:p w:rsidR="007F1B5B" w:rsidRPr="00A55216" w:rsidP="007F1B5B">
      <w:pPr>
        <w:pStyle w:val="ESBodyText0"/>
      </w:pPr>
      <w:r>
        <w:rPr>
          <w:noProof/>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-4445</wp:posOffset>
                </wp:positionV>
                <wp:extent cx="3686175" cy="866775"/>
                <wp:effectExtent l="0" t="0" r="9525" b="9525"/>
                <wp:wrapNone/>
                <wp:docPr id="32787"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3686175" cy="866775"/>
                        </a:xfrm>
                        <a:prstGeom prst="rect">
                          <a:avLst/>
                        </a:prstGeom>
                        <a:solidFill>
                          <a:schemeClr val="lt1"/>
                        </a:solidFill>
                        <a:ln w="6350">
                          <a:noFill/>
                        </a:ln>
                      </wps:spPr>
                      <wps:txbx>
                        <w:txbxContent>
                          <w:p w:rsidR="007F1B5B" w:rsidRPr="00A55216" w:rsidP="007F1B5B">
                            <w:pPr>
                              <w:rPr>
                                <w:i/>
                                <w:iCs/>
                                <w:lang w:val="en-AU"/>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0" o:spid="_x0000_s1028" type="#_x0000_t202" alt="&quot;&quot;" style="height:68.25pt;margin-left:0;margin-top:-0.35pt;mso-height-percent:0;mso-height-relative:margin;mso-position-horizontal:left;mso-position-horizontal-relative:margin;mso-width-percent:0;mso-width-relative:margin;mso-wrap-distance-bottom:0;mso-wrap-distance-left:9pt;mso-wrap-distance-right:9pt;mso-wrap-distance-top:0;mso-wrap-style:square;position:absolute;v-text-anchor:top;visibility:visible;width:290.25pt;z-index:251677696" fillcolor="white" stroked="f" strokeweight="0.5pt">
                <v:textbox>
                  <w:txbxContent>
                    <w:p w:rsidR="007F1B5B" w:rsidRPr="00A55216" w:rsidP="007F1B5B">
                      <w:pPr>
                        <w:rPr>
                          <w:i/>
                          <w:iCs/>
                          <w:lang w:val="en-AU"/>
                        </w:rPr>
                      </w:pPr>
                    </w:p>
                  </w:txbxContent>
                </v:textbox>
                <w10:wrap anchorx="margin"/>
              </v:shape>
            </w:pict>
          </mc:Fallback>
        </mc:AlternateContent>
      </w:r>
    </w:p>
    <w:p w:rsidR="007F1B5B" w:rsidRPr="00A55216" w:rsidP="007F1B5B">
      <w:pPr>
        <w:pStyle w:val="ESBodyText0"/>
      </w:pPr>
    </w:p>
    <w:p w:rsidR="007F1B5B" w:rsidRPr="00A55216" w:rsidP="007F1B5B">
      <w:pPr>
        <w:spacing w:after="0" w:line="240" w:lineRule="auto"/>
        <w:rPr>
          <w:rFonts w:eastAsiaTheme="majorEastAsia" w:cstheme="majorBidi"/>
          <w:bCs/>
          <w:caps/>
          <w:sz w:val="20"/>
          <w:szCs w:val="20"/>
        </w:rPr>
      </w:pPr>
    </w:p>
    <w:p w:rsidR="007F1B5B" w:rsidRPr="00A55216" w:rsidP="007F1B5B">
      <w:pPr>
        <w:spacing w:after="0" w:line="240" w:lineRule="auto"/>
        <w:rPr>
          <w:rFonts w:eastAsiaTheme="majorEastAsia" w:cstheme="majorBidi"/>
          <w:bCs/>
          <w:caps/>
          <w:sz w:val="20"/>
          <w:szCs w:val="20"/>
        </w:rPr>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7F1B5B">
      <w:pPr>
        <w:spacing w:after="0" w:line="240" w:lineRule="auto"/>
      </w:pPr>
    </w:p>
    <w:p w:rsidR="009E6D61" w:rsidP="00B637FF">
      <w:pPr>
        <w:pStyle w:val="Style10"/>
      </w:pPr>
      <w:r>
        <w:t>ENGAGEMENT</w:t>
      </w:r>
    </w:p>
    <w:p w:rsidR="00666BAD" w:rsidP="00874585">
      <w:pPr>
        <w:pStyle w:val="ESBodyText0"/>
        <w:spacing w:before="240" w:line="240" w:lineRule="auto"/>
        <w:ind w:left="567" w:hanging="567"/>
        <w:rPr>
          <w:b/>
          <w:i/>
        </w:rPr>
      </w:pPr>
      <w:r>
        <w:rPr>
          <w:b/>
          <w:i/>
        </w:rPr>
        <w:t>Key:</w:t>
      </w:r>
      <w:r>
        <w:rPr>
          <w:b/>
          <w:i/>
        </w:rPr>
        <w:tab/>
      </w:r>
      <w:r w:rsidR="000B5315">
        <w:rPr>
          <w:b/>
          <w:i/>
        </w:rPr>
        <w:t>‘</w:t>
      </w:r>
      <w:r>
        <w:rPr>
          <w:b/>
          <w:i/>
        </w:rPr>
        <w:t>Similar Schools</w:t>
      </w:r>
      <w:r w:rsidR="000B5315">
        <w:rPr>
          <w:b/>
          <w:i/>
        </w:rPr>
        <w:t>’</w:t>
      </w:r>
      <w:r>
        <w:rPr>
          <w:b/>
          <w:i/>
        </w:rPr>
        <w:t xml:space="preserve"> are a group of Victorian government schools that are like this school, </w:t>
      </w:r>
      <w:r>
        <w:rPr>
          <w:b/>
          <w:i/>
        </w:rPr>
        <w:t>taking into account</w:t>
      </w:r>
      <w:r>
        <w:rPr>
          <w:b/>
          <w:i/>
        </w:rPr>
        <w:t xml:space="preserve"> the school’s socioeconomic background of students, the number of non-English speaking students and the size and location of the school.</w:t>
      </w:r>
    </w:p>
    <w:p w:rsidR="009E6D61" w:rsidP="00874585">
      <w:pPr>
        <w:pStyle w:val="ESHeading30"/>
      </w:pPr>
      <w:r>
        <w:t>Average Number of Student Absence Days</w:t>
      </w:r>
    </w:p>
    <w:p w:rsidR="001016C0" w:rsidP="00A55216">
      <w:pPr>
        <w:pStyle w:val="ESBodyText0"/>
        <w:spacing w:after="0"/>
      </w:pPr>
      <w:r>
        <w:t>Absence from school can impact on students’ learning.</w:t>
      </w:r>
      <w:r w:rsidR="00731F19">
        <w:t xml:space="preserve"> </w:t>
      </w:r>
      <w:r>
        <w:t>Common reasons for non-attendance include illness and extended family holidays.</w:t>
      </w:r>
      <w:r w:rsidR="00A55216">
        <w:t xml:space="preserve"> </w:t>
      </w:r>
    </w:p>
    <w:p w:rsidR="002E45F9">
      <w:pPr>
        <w:pStyle w:val="ESBodyText0"/>
      </w:pPr>
      <w:r>
        <w:rPr>
          <w:noProof/>
        </w:rPr>
        <w:drawing>
          <wp:anchor distT="0" distB="0" distL="114300" distR="114300" simplePos="0" relativeHeight="251665408" behindDoc="0" locked="0" layoutInCell="1" allowOverlap="1">
            <wp:simplePos x="0" y="0"/>
            <wp:positionH relativeFrom="column">
              <wp:posOffset>3402330</wp:posOffset>
            </wp:positionH>
            <wp:positionV relativeFrom="paragraph">
              <wp:posOffset>210820</wp:posOffset>
            </wp:positionV>
            <wp:extent cx="3514725" cy="1866900"/>
            <wp:effectExtent l="0" t="0" r="0" b="0"/>
            <wp:wrapNone/>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1"/>
        <w:gridCol w:w="1132"/>
      </w:tblGrid>
      <w:tr w:rsidTr="00301A6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8A2551" w:rsidP="00BA1967">
            <w:pPr>
              <w:spacing w:after="0" w:line="240" w:lineRule="auto"/>
              <w:rPr>
                <w:rFonts w:eastAsia="Times New Roman"/>
                <w:b/>
                <w:bCs/>
                <w:color w:val="000000"/>
                <w:lang w:val="en-AU" w:eastAsia="en-AU"/>
              </w:rPr>
            </w:pPr>
            <w:r w:rsidRPr="006F0563">
              <w:rPr>
                <w:rFonts w:eastAsia="Times New Roman"/>
                <w:b/>
                <w:bCs/>
                <w:color w:val="000000"/>
                <w:lang w:val="en-AU" w:eastAsia="en-AU"/>
              </w:rPr>
              <w:t>Student Absence</w:t>
            </w:r>
          </w:p>
          <w:p w:rsidR="008A2551" w:rsidRPr="00B20B33" w:rsidP="00BA1967">
            <w:pPr>
              <w:pStyle w:val="ESBodyText0"/>
              <w:spacing w:line="240" w:lineRule="auto"/>
              <w:rPr>
                <w:b/>
                <w:bCs/>
              </w:rPr>
            </w:pPr>
            <w:r>
              <w:rPr>
                <w:rFonts w:eastAsia="Times New Roman"/>
                <w:b/>
                <w:bCs/>
                <w:color w:val="000000"/>
                <w:lang w:val="en-AU" w:eastAsia="en-AU"/>
              </w:rPr>
              <w:t>Years 7 to 12</w:t>
            </w:r>
          </w:p>
        </w:tc>
        <w:tc>
          <w:tcPr>
            <w:tcW w:w="1131" w:type="dxa"/>
            <w:vAlign w:val="bottom"/>
          </w:tcPr>
          <w:p w:rsidR="008A2551" w:rsidP="00BA1967">
            <w:pPr>
              <w:pStyle w:val="ESBodyText0"/>
              <w:spacing w:line="240" w:lineRule="auto"/>
              <w:jc w:val="center"/>
            </w:pPr>
            <w:r>
              <w:t>Latest year (202</w:t>
            </w:r>
            <w:r w:rsidR="00594C01">
              <w:t>3</w:t>
            </w:r>
            <w:r>
              <w:t>)</w:t>
            </w:r>
          </w:p>
        </w:tc>
        <w:tc>
          <w:tcPr>
            <w:tcW w:w="1132" w:type="dxa"/>
            <w:vAlign w:val="bottom"/>
          </w:tcPr>
          <w:p w:rsidR="008A2551" w:rsidP="00BA1967">
            <w:pPr>
              <w:pStyle w:val="ESBodyText0"/>
              <w:spacing w:line="240" w:lineRule="auto"/>
              <w:jc w:val="center"/>
            </w:pPr>
            <w:r>
              <w:t>4-year average</w:t>
            </w:r>
          </w:p>
        </w:tc>
      </w:tr>
      <w:tr w:rsidTr="00301A6C">
        <w:tblPrEx>
          <w:tblW w:w="0" w:type="auto"/>
          <w:tblLook w:val="04A0"/>
        </w:tblPrEx>
        <w:trPr>
          <w:trHeight w:hRule="exact" w:val="567"/>
        </w:trPr>
        <w:tc>
          <w:tcPr>
            <w:tcW w:w="2835" w:type="dxa"/>
            <w:tcMar>
              <w:top w:w="57" w:type="dxa"/>
            </w:tcMar>
            <w:vAlign w:val="center"/>
          </w:tcPr>
          <w:p w:rsidR="008A2551" w:rsidP="00BA1967">
            <w:pPr>
              <w:pStyle w:val="ESBodyText0"/>
              <w:spacing w:line="240" w:lineRule="auto"/>
            </w:pPr>
            <w:r>
              <w:t>School average number of absence days:</w:t>
            </w:r>
          </w:p>
        </w:tc>
        <w:tc>
          <w:tcPr>
            <w:tcW w:w="1131" w:type="dxa"/>
            <w:tcBorders>
              <w:bottom w:val="single" w:sz="4" w:space="0" w:color="FFFFFF" w:themeColor="background1"/>
            </w:tcBorders>
            <w:shd w:val="clear" w:color="auto" w:fill="FFC000"/>
            <w:tcMar>
              <w:top w:w="57" w:type="dxa"/>
            </w:tcMar>
            <w:vAlign w:val="center"/>
          </w:tcPr>
          <w:p w:rsidR="008A2551" w:rsidP="00BA1967">
            <w:pPr>
              <w:pStyle w:val="ESBodyText0"/>
              <w:spacing w:line="240" w:lineRule="auto"/>
              <w:jc w:val="center"/>
            </w:pPr>
            <w:r>
              <w:t>29.6</w:t>
            </w:r>
          </w:p>
        </w:tc>
        <w:tc>
          <w:tcPr>
            <w:tcW w:w="1132" w:type="dxa"/>
            <w:tcBorders>
              <w:bottom w:val="single" w:sz="4" w:space="0" w:color="FFFFFF" w:themeColor="background1"/>
            </w:tcBorders>
            <w:shd w:val="clear" w:color="auto" w:fill="FFC000"/>
            <w:tcMar>
              <w:top w:w="57" w:type="dxa"/>
            </w:tcMar>
            <w:vAlign w:val="center"/>
          </w:tcPr>
          <w:p w:rsidR="008A2551" w:rsidP="00BA1967">
            <w:pPr>
              <w:pStyle w:val="ESBodyText0"/>
              <w:spacing w:line="240" w:lineRule="auto"/>
              <w:jc w:val="center"/>
            </w:pPr>
            <w:r>
              <w:t>23.2</w:t>
            </w:r>
          </w:p>
        </w:tc>
      </w:tr>
      <w:tr w:rsidTr="00301A6C">
        <w:tblPrEx>
          <w:tblW w:w="0" w:type="auto"/>
          <w:tblLook w:val="04A0"/>
        </w:tblPrEx>
        <w:trPr>
          <w:trHeight w:hRule="exact" w:val="567"/>
        </w:trPr>
        <w:tc>
          <w:tcPr>
            <w:tcW w:w="2835" w:type="dxa"/>
            <w:tcMar>
              <w:top w:w="57" w:type="dxa"/>
            </w:tcMar>
            <w:vAlign w:val="center"/>
          </w:tcPr>
          <w:p w:rsidR="008A2551" w:rsidP="00BA1967">
            <w:pPr>
              <w:pStyle w:val="ESBodyText0"/>
              <w:spacing w:line="240" w:lineRule="auto"/>
            </w:pPr>
            <w:r>
              <w:t>Similar School</w:t>
            </w:r>
            <w:r w:rsidR="003A7F6A">
              <w:t>s</w:t>
            </w:r>
            <w:r>
              <w:t xml:space="preserve"> average:</w:t>
            </w:r>
          </w:p>
        </w:tc>
        <w:tc>
          <w:tcPr>
            <w:tcW w:w="1131" w:type="dxa"/>
            <w:tcBorders>
              <w:top w:val="single" w:sz="4" w:space="0" w:color="FFFFFF" w:themeColor="background1"/>
              <w:bottom w:val="single" w:sz="4" w:space="0" w:color="FFFFFF" w:themeColor="background1"/>
            </w:tcBorders>
            <w:shd w:val="clear" w:color="auto" w:fill="7030A0"/>
            <w:tcMar>
              <w:top w:w="57" w:type="dxa"/>
            </w:tcMar>
            <w:vAlign w:val="center"/>
          </w:tcPr>
          <w:p w:rsidR="008A2551" w:rsidRPr="00B20B33" w:rsidP="00BA1967">
            <w:pPr>
              <w:pStyle w:val="ESBodyText0"/>
              <w:spacing w:line="240" w:lineRule="auto"/>
              <w:jc w:val="center"/>
              <w:rPr>
                <w:color w:val="FFFFFF" w:themeColor="background1"/>
              </w:rPr>
            </w:pPr>
            <w:r>
              <w:rPr>
                <w:color w:val="FFFFFF" w:themeColor="background1"/>
              </w:rPr>
              <w:t>28.3</w:t>
            </w:r>
          </w:p>
        </w:tc>
        <w:tc>
          <w:tcPr>
            <w:tcW w:w="1132" w:type="dxa"/>
            <w:tcBorders>
              <w:top w:val="single" w:sz="4" w:space="0" w:color="FFFFFF" w:themeColor="background1"/>
              <w:bottom w:val="single" w:sz="4" w:space="0" w:color="FFFFFF" w:themeColor="background1"/>
            </w:tcBorders>
            <w:shd w:val="clear" w:color="auto" w:fill="7030A0"/>
            <w:tcMar>
              <w:top w:w="57" w:type="dxa"/>
            </w:tcMar>
            <w:vAlign w:val="center"/>
          </w:tcPr>
          <w:p w:rsidR="008A2551" w:rsidRPr="00B20B33" w:rsidP="00BA1967">
            <w:pPr>
              <w:pStyle w:val="ESBodyText0"/>
              <w:spacing w:line="240" w:lineRule="auto"/>
              <w:jc w:val="center"/>
              <w:rPr>
                <w:color w:val="FFFFFF" w:themeColor="background1"/>
              </w:rPr>
            </w:pPr>
            <w:r>
              <w:rPr>
                <w:color w:val="FFFFFF" w:themeColor="background1"/>
              </w:rPr>
              <w:t>23.8</w:t>
            </w:r>
          </w:p>
        </w:tc>
      </w:tr>
      <w:tr w:rsidTr="00301A6C">
        <w:tblPrEx>
          <w:tblW w:w="0" w:type="auto"/>
          <w:tblLook w:val="04A0"/>
        </w:tblPrEx>
        <w:trPr>
          <w:trHeight w:hRule="exact" w:val="567"/>
        </w:trPr>
        <w:tc>
          <w:tcPr>
            <w:tcW w:w="2835" w:type="dxa"/>
            <w:tcMar>
              <w:top w:w="57" w:type="dxa"/>
            </w:tcMar>
            <w:vAlign w:val="center"/>
          </w:tcPr>
          <w:p w:rsidR="008A2551" w:rsidP="00BA1967">
            <w:pPr>
              <w:pStyle w:val="ESBodyText0"/>
              <w:spacing w:line="240" w:lineRule="auto"/>
            </w:pPr>
            <w:r>
              <w:t>State average:</w:t>
            </w:r>
          </w:p>
        </w:tc>
        <w:tc>
          <w:tcPr>
            <w:tcW w:w="1131" w:type="dxa"/>
            <w:tcBorders>
              <w:top w:val="single" w:sz="4" w:space="0" w:color="FFFFFF" w:themeColor="background1"/>
            </w:tcBorders>
            <w:shd w:val="clear" w:color="auto" w:fill="A6A6A6" w:themeFill="background1" w:themeFillShade="A6"/>
            <w:tcMar>
              <w:top w:w="57" w:type="dxa"/>
            </w:tcMar>
            <w:vAlign w:val="center"/>
          </w:tcPr>
          <w:p w:rsidR="008A2551" w:rsidP="00BA1967">
            <w:pPr>
              <w:pStyle w:val="ESBodyText0"/>
              <w:spacing w:line="240" w:lineRule="auto"/>
              <w:jc w:val="center"/>
            </w:pPr>
            <w:r>
              <w:t>28.4</w:t>
            </w:r>
          </w:p>
        </w:tc>
        <w:tc>
          <w:tcPr>
            <w:tcW w:w="1132" w:type="dxa"/>
            <w:tcBorders>
              <w:top w:val="single" w:sz="4" w:space="0" w:color="FFFFFF" w:themeColor="background1"/>
            </w:tcBorders>
            <w:shd w:val="clear" w:color="auto" w:fill="A6A6A6" w:themeFill="background1" w:themeFillShade="A6"/>
            <w:tcMar>
              <w:top w:w="57" w:type="dxa"/>
            </w:tcMar>
            <w:vAlign w:val="center"/>
          </w:tcPr>
          <w:p w:rsidR="008A2551" w:rsidP="00BA1967">
            <w:pPr>
              <w:pStyle w:val="ESBodyText0"/>
              <w:spacing w:line="240" w:lineRule="auto"/>
              <w:jc w:val="center"/>
            </w:pPr>
            <w:r>
              <w:t>23.8</w:t>
            </w:r>
          </w:p>
        </w:tc>
      </w:tr>
    </w:tbl>
    <w:p w:rsidR="006A4059" w:rsidP="006A4059">
      <w:pPr>
        <w:pStyle w:val="ESBodyText0"/>
      </w:pPr>
    </w:p>
    <w:p w:rsidR="006F4FB2" w:rsidP="009E233C">
      <w:pPr>
        <w:pStyle w:val="ESBodyText0"/>
      </w:pPr>
    </w:p>
    <w:p w:rsidR="00EA259E" w:rsidP="009E233C">
      <w:pPr>
        <w:pStyle w:val="ESBodyText0"/>
        <w:rPr>
          <w:b/>
          <w:bCs/>
        </w:rPr>
      </w:pPr>
      <w:r>
        <w:t xml:space="preserve">  </w:t>
      </w:r>
      <w:r w:rsidRPr="00EA259E">
        <w:rPr>
          <w:b/>
          <w:bCs/>
        </w:rPr>
        <w:t>Attendance Rate (latest year)</w:t>
      </w:r>
    </w:p>
    <w:p w:rsidR="00EA259E" w:rsidRPr="00EA259E" w:rsidP="009E233C">
      <w:pPr>
        <w:pStyle w:val="ESBodyText0"/>
      </w:pPr>
      <w:r>
        <w:rPr>
          <w:b/>
          <w:bCs/>
        </w:rPr>
        <w:t xml:space="preserve">  </w:t>
      </w:r>
      <w:r w:rsidRPr="00EA259E">
        <w:t xml:space="preserve">Attendance </w:t>
      </w:r>
      <w:r>
        <w:t>rate refers to the average proportion of formal school days students in each year level attended.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275"/>
        <w:gridCol w:w="1275"/>
        <w:gridCol w:w="1275"/>
        <w:gridCol w:w="1275"/>
        <w:gridCol w:w="1275"/>
        <w:gridCol w:w="1275"/>
      </w:tblGrid>
      <w:tr w:rsidTr="00941D1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5" w:type="dxa"/>
            <w:vAlign w:val="bottom"/>
          </w:tcPr>
          <w:p w:rsidR="00187FBC" w:rsidP="00941D1D">
            <w:pPr>
              <w:pStyle w:val="ESBodyText0"/>
              <w:rPr>
                <w:b/>
                <w:bCs/>
              </w:rPr>
            </w:pPr>
          </w:p>
          <w:p w:rsidR="00EA259E" w:rsidP="00941D1D">
            <w:pPr>
              <w:pStyle w:val="ESBodyText0"/>
            </w:pPr>
          </w:p>
        </w:tc>
        <w:tc>
          <w:tcPr>
            <w:tcW w:w="1275" w:type="dxa"/>
            <w:vAlign w:val="bottom"/>
          </w:tcPr>
          <w:p w:rsidR="00187FBC" w:rsidP="00941D1D">
            <w:pPr>
              <w:pStyle w:val="ESBodyText0"/>
              <w:jc w:val="center"/>
            </w:pPr>
          </w:p>
        </w:tc>
        <w:tc>
          <w:tcPr>
            <w:tcW w:w="1275" w:type="dxa"/>
            <w:vAlign w:val="bottom"/>
          </w:tcPr>
          <w:p w:rsidR="00187FBC" w:rsidP="00941D1D">
            <w:pPr>
              <w:pStyle w:val="ESBodyText0"/>
              <w:jc w:val="center"/>
            </w:pPr>
          </w:p>
        </w:tc>
        <w:tc>
          <w:tcPr>
            <w:tcW w:w="1275" w:type="dxa"/>
            <w:vAlign w:val="bottom"/>
          </w:tcPr>
          <w:p w:rsidR="00187FBC" w:rsidP="00941D1D">
            <w:pPr>
              <w:pStyle w:val="ESBodyText0"/>
              <w:jc w:val="center"/>
            </w:pPr>
          </w:p>
        </w:tc>
        <w:tc>
          <w:tcPr>
            <w:tcW w:w="1275" w:type="dxa"/>
            <w:vAlign w:val="bottom"/>
          </w:tcPr>
          <w:p w:rsidR="00187FBC" w:rsidP="00941D1D">
            <w:pPr>
              <w:pStyle w:val="ESBodyText0"/>
              <w:jc w:val="center"/>
            </w:pPr>
          </w:p>
        </w:tc>
        <w:tc>
          <w:tcPr>
            <w:tcW w:w="1275" w:type="dxa"/>
            <w:vAlign w:val="bottom"/>
          </w:tcPr>
          <w:p w:rsidR="00187FBC" w:rsidP="00941D1D">
            <w:pPr>
              <w:pStyle w:val="ESBodyText0"/>
              <w:jc w:val="center"/>
            </w:pPr>
          </w:p>
        </w:tc>
        <w:tc>
          <w:tcPr>
            <w:tcW w:w="1275" w:type="dxa"/>
            <w:vAlign w:val="bottom"/>
          </w:tcPr>
          <w:p w:rsidR="00187FBC" w:rsidP="00941D1D">
            <w:pPr>
              <w:pStyle w:val="ESBodyText0"/>
              <w:jc w:val="center"/>
            </w:pPr>
          </w:p>
        </w:tc>
      </w:tr>
      <w:tr w:rsidTr="00941D1D">
        <w:tblPrEx>
          <w:tblW w:w="0" w:type="auto"/>
          <w:tblLook w:val="04A0"/>
        </w:tblPrEx>
        <w:tc>
          <w:tcPr>
            <w:tcW w:w="2835" w:type="dxa"/>
            <w:vAlign w:val="bottom"/>
          </w:tcPr>
          <w:p w:rsidR="00187FBC" w:rsidP="00941D1D">
            <w:pPr>
              <w:pStyle w:val="ESBodyText0"/>
            </w:pPr>
          </w:p>
        </w:tc>
        <w:tc>
          <w:tcPr>
            <w:tcW w:w="1275" w:type="dxa"/>
            <w:vAlign w:val="bottom"/>
          </w:tcPr>
          <w:p w:rsidR="00187FBC" w:rsidP="00941D1D">
            <w:pPr>
              <w:pStyle w:val="ESBodyText0"/>
              <w:jc w:val="center"/>
            </w:pPr>
            <w:r>
              <w:t>Year 7</w:t>
            </w:r>
          </w:p>
        </w:tc>
        <w:tc>
          <w:tcPr>
            <w:tcW w:w="1275" w:type="dxa"/>
            <w:vAlign w:val="bottom"/>
          </w:tcPr>
          <w:p w:rsidR="00187FBC" w:rsidP="00941D1D">
            <w:pPr>
              <w:pStyle w:val="ESBodyText0"/>
              <w:jc w:val="center"/>
            </w:pPr>
            <w:r>
              <w:t>Year 8</w:t>
            </w:r>
          </w:p>
        </w:tc>
        <w:tc>
          <w:tcPr>
            <w:tcW w:w="1275" w:type="dxa"/>
            <w:vAlign w:val="bottom"/>
          </w:tcPr>
          <w:p w:rsidR="00187FBC" w:rsidP="00941D1D">
            <w:pPr>
              <w:pStyle w:val="ESBodyText0"/>
              <w:jc w:val="center"/>
            </w:pPr>
            <w:r>
              <w:t>Year 9</w:t>
            </w:r>
          </w:p>
        </w:tc>
        <w:tc>
          <w:tcPr>
            <w:tcW w:w="1275" w:type="dxa"/>
            <w:vAlign w:val="bottom"/>
          </w:tcPr>
          <w:p w:rsidR="00187FBC" w:rsidP="00941D1D">
            <w:pPr>
              <w:pStyle w:val="ESBodyText0"/>
              <w:jc w:val="center"/>
            </w:pPr>
            <w:r>
              <w:t>Year 10</w:t>
            </w:r>
          </w:p>
        </w:tc>
        <w:tc>
          <w:tcPr>
            <w:tcW w:w="1275" w:type="dxa"/>
            <w:vAlign w:val="bottom"/>
          </w:tcPr>
          <w:p w:rsidR="00187FBC" w:rsidP="00941D1D">
            <w:pPr>
              <w:pStyle w:val="ESBodyText0"/>
              <w:jc w:val="center"/>
            </w:pPr>
            <w:r>
              <w:t>Year 11</w:t>
            </w:r>
          </w:p>
        </w:tc>
        <w:tc>
          <w:tcPr>
            <w:tcW w:w="1275" w:type="dxa"/>
            <w:vAlign w:val="bottom"/>
          </w:tcPr>
          <w:p w:rsidR="00187FBC" w:rsidP="00941D1D">
            <w:pPr>
              <w:pStyle w:val="ESBodyText0"/>
              <w:jc w:val="center"/>
            </w:pPr>
            <w:r>
              <w:t>Year 12</w:t>
            </w:r>
          </w:p>
        </w:tc>
      </w:tr>
      <w:tr w:rsidTr="00941D1D">
        <w:tblPrEx>
          <w:tblW w:w="0" w:type="auto"/>
          <w:tblLook w:val="04A0"/>
        </w:tblPrEx>
        <w:tc>
          <w:tcPr>
            <w:tcW w:w="2835" w:type="dxa"/>
          </w:tcPr>
          <w:p w:rsidR="00187FBC" w:rsidP="00941D1D">
            <w:pPr>
              <w:pStyle w:val="ESBodyText0"/>
            </w:pPr>
            <w:r>
              <w:t>Attendance Rate by year level (202</w:t>
            </w:r>
            <w:r w:rsidR="00594C01">
              <w:t>3</w:t>
            </w:r>
            <w:r>
              <w:t>):</w:t>
            </w:r>
          </w:p>
        </w:tc>
        <w:tc>
          <w:tcPr>
            <w:tcW w:w="1275" w:type="dxa"/>
            <w:shd w:val="clear" w:color="auto" w:fill="FFC000"/>
            <w:tcMar>
              <w:top w:w="57" w:type="dxa"/>
            </w:tcMar>
            <w:vAlign w:val="center"/>
          </w:tcPr>
          <w:p w:rsidR="00187FBC" w:rsidP="00941D1D">
            <w:pPr>
              <w:pStyle w:val="ESBodyText0"/>
              <w:jc w:val="center"/>
            </w:pPr>
            <w:r>
              <w:t>88%</w:t>
            </w:r>
          </w:p>
        </w:tc>
        <w:tc>
          <w:tcPr>
            <w:tcW w:w="1275" w:type="dxa"/>
            <w:shd w:val="clear" w:color="auto" w:fill="FFC000"/>
            <w:tcMar>
              <w:top w:w="57" w:type="dxa"/>
            </w:tcMar>
            <w:vAlign w:val="center"/>
          </w:tcPr>
          <w:p w:rsidR="00187FBC" w:rsidP="00941D1D">
            <w:pPr>
              <w:pStyle w:val="ESBodyText0"/>
              <w:jc w:val="center"/>
            </w:pPr>
            <w:r>
              <w:t>83%</w:t>
            </w:r>
          </w:p>
        </w:tc>
        <w:tc>
          <w:tcPr>
            <w:tcW w:w="1275" w:type="dxa"/>
            <w:shd w:val="clear" w:color="auto" w:fill="FFC000"/>
            <w:tcMar>
              <w:top w:w="57" w:type="dxa"/>
            </w:tcMar>
            <w:vAlign w:val="center"/>
          </w:tcPr>
          <w:p w:rsidR="00187FBC" w:rsidP="00941D1D">
            <w:pPr>
              <w:pStyle w:val="ESBodyText0"/>
              <w:jc w:val="center"/>
            </w:pPr>
            <w:r>
              <w:t>83%</w:t>
            </w:r>
          </w:p>
        </w:tc>
        <w:tc>
          <w:tcPr>
            <w:tcW w:w="1275" w:type="dxa"/>
            <w:shd w:val="clear" w:color="auto" w:fill="FFC000"/>
            <w:tcMar>
              <w:top w:w="57" w:type="dxa"/>
            </w:tcMar>
            <w:vAlign w:val="center"/>
          </w:tcPr>
          <w:p w:rsidR="00187FBC" w:rsidP="00941D1D">
            <w:pPr>
              <w:pStyle w:val="ESBodyText0"/>
              <w:jc w:val="center"/>
            </w:pPr>
            <w:r>
              <w:t>83%</w:t>
            </w:r>
          </w:p>
        </w:tc>
        <w:tc>
          <w:tcPr>
            <w:tcW w:w="1275" w:type="dxa"/>
            <w:shd w:val="clear" w:color="auto" w:fill="FFC000"/>
            <w:tcMar>
              <w:top w:w="57" w:type="dxa"/>
            </w:tcMar>
            <w:vAlign w:val="center"/>
          </w:tcPr>
          <w:p w:rsidR="00187FBC" w:rsidP="00941D1D">
            <w:pPr>
              <w:pStyle w:val="ESBodyText0"/>
              <w:jc w:val="center"/>
            </w:pPr>
            <w:r>
              <w:t>86%</w:t>
            </w:r>
          </w:p>
        </w:tc>
        <w:tc>
          <w:tcPr>
            <w:tcW w:w="1275" w:type="dxa"/>
            <w:shd w:val="clear" w:color="auto" w:fill="FFC000"/>
            <w:tcMar>
              <w:top w:w="57" w:type="dxa"/>
            </w:tcMar>
            <w:vAlign w:val="center"/>
          </w:tcPr>
          <w:p w:rsidR="00187FBC" w:rsidP="00941D1D">
            <w:pPr>
              <w:pStyle w:val="ESBodyText0"/>
              <w:jc w:val="center"/>
            </w:pPr>
            <w:r>
              <w:t>90%</w:t>
            </w:r>
          </w:p>
        </w:tc>
      </w:tr>
    </w:tbl>
    <w:p w:rsidR="00187FBC" w:rsidP="00187FBC">
      <w:pPr>
        <w:pStyle w:val="ESBodyText0"/>
      </w:pPr>
    </w:p>
    <w:p w:rsidR="000F114C" w:rsidP="009E233C">
      <w:pPr>
        <w:pStyle w:val="ESBodyText0"/>
      </w:pPr>
    </w:p>
    <w:p w:rsidR="000F114C" w:rsidP="009E233C">
      <w:pPr>
        <w:pStyle w:val="ESBodyText0"/>
      </w:pPr>
    </w:p>
    <w:p w:rsidR="00907E95" w:rsidP="00907E95">
      <w:pPr>
        <w:pStyle w:val="ESHeading30"/>
      </w:pPr>
      <w:r>
        <w:t>Student Retention</w:t>
      </w:r>
    </w:p>
    <w:p w:rsidR="00907E95" w:rsidP="00907E95">
      <w:pPr>
        <w:pStyle w:val="ESBodyText0"/>
      </w:pPr>
      <w:r>
        <w:t>Percentage of Year 7 students who remain at the school through to Year 10.</w:t>
      </w:r>
    </w:p>
    <w:tbl>
      <w:tblPr>
        <w:tblStyle w:val="TableGrid"/>
        <w:tblpPr w:leftFromText="180" w:rightFromText="180" w:vertAnchor="text" w:horzAnchor="margin" w:tblpY="2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1134"/>
        <w:gridCol w:w="1063"/>
      </w:tblGrid>
      <w:tr w:rsidTr="00717AB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9" w:type="dxa"/>
            <w:vAlign w:val="bottom"/>
          </w:tcPr>
          <w:p w:rsidR="00717AB7" w:rsidP="00717AB7">
            <w:pPr>
              <w:spacing w:after="0" w:line="240" w:lineRule="auto"/>
              <w:rPr>
                <w:rFonts w:eastAsia="Times New Roman"/>
                <w:b/>
                <w:bCs/>
                <w:color w:val="000000"/>
                <w:lang w:val="en-AU" w:eastAsia="en-AU"/>
              </w:rPr>
            </w:pPr>
            <w:r w:rsidRPr="006F0563">
              <w:rPr>
                <w:rFonts w:eastAsia="Times New Roman"/>
                <w:b/>
                <w:bCs/>
                <w:color w:val="000000"/>
                <w:lang w:val="en-AU" w:eastAsia="en-AU"/>
              </w:rPr>
              <w:t xml:space="preserve">Student </w:t>
            </w:r>
            <w:r>
              <w:rPr>
                <w:rFonts w:eastAsia="Times New Roman"/>
                <w:b/>
                <w:bCs/>
                <w:color w:val="000000"/>
                <w:lang w:val="en-AU" w:eastAsia="en-AU"/>
              </w:rPr>
              <w:t>Retention</w:t>
            </w:r>
          </w:p>
          <w:p w:rsidR="00717AB7" w:rsidRPr="00B20B33" w:rsidP="00717AB7">
            <w:pPr>
              <w:pStyle w:val="ESBodyText0"/>
              <w:spacing w:line="240" w:lineRule="auto"/>
              <w:rPr>
                <w:b/>
                <w:bCs/>
              </w:rPr>
            </w:pPr>
            <w:r>
              <w:rPr>
                <w:rFonts w:eastAsia="Times New Roman"/>
                <w:b/>
                <w:bCs/>
                <w:color w:val="000000"/>
                <w:lang w:val="en-AU" w:eastAsia="en-AU"/>
              </w:rPr>
              <w:t>Year 7 to Year 10</w:t>
            </w:r>
          </w:p>
        </w:tc>
        <w:tc>
          <w:tcPr>
            <w:tcW w:w="1134" w:type="dxa"/>
            <w:vAlign w:val="bottom"/>
          </w:tcPr>
          <w:p w:rsidR="00717AB7" w:rsidP="00717AB7">
            <w:pPr>
              <w:pStyle w:val="ESBodyText0"/>
              <w:spacing w:line="240" w:lineRule="auto"/>
              <w:jc w:val="center"/>
            </w:pPr>
            <w:r>
              <w:t>Latest year (202</w:t>
            </w:r>
            <w:r w:rsidR="00594C01">
              <w:t>3</w:t>
            </w:r>
            <w:r>
              <w:t>)</w:t>
            </w:r>
          </w:p>
        </w:tc>
        <w:tc>
          <w:tcPr>
            <w:tcW w:w="1063" w:type="dxa"/>
            <w:vAlign w:val="bottom"/>
          </w:tcPr>
          <w:p w:rsidR="00717AB7" w:rsidP="00717AB7">
            <w:pPr>
              <w:pStyle w:val="ESBodyText0"/>
              <w:spacing w:line="240" w:lineRule="auto"/>
              <w:jc w:val="center"/>
            </w:pPr>
            <w:r>
              <w:t>4-year average</w:t>
            </w:r>
          </w:p>
        </w:tc>
      </w:tr>
      <w:tr w:rsidTr="00717AB7">
        <w:tblPrEx>
          <w:tblW w:w="0" w:type="auto"/>
          <w:tblLook w:val="04A0"/>
        </w:tblPrEx>
        <w:trPr>
          <w:trHeight w:hRule="exact" w:val="567"/>
        </w:trPr>
        <w:tc>
          <w:tcPr>
            <w:tcW w:w="3119" w:type="dxa"/>
            <w:tcMar>
              <w:top w:w="57" w:type="dxa"/>
            </w:tcMar>
            <w:vAlign w:val="center"/>
          </w:tcPr>
          <w:p w:rsidR="00717AB7" w:rsidP="00717AB7">
            <w:pPr>
              <w:pStyle w:val="ESBodyText0"/>
              <w:spacing w:line="240" w:lineRule="auto"/>
            </w:pPr>
            <w:r>
              <w:t>School percent of students retained:</w:t>
            </w:r>
          </w:p>
        </w:tc>
        <w:tc>
          <w:tcPr>
            <w:tcW w:w="1134" w:type="dxa"/>
            <w:tcBorders>
              <w:bottom w:val="single" w:sz="4" w:space="0" w:color="FFFFFF" w:themeColor="background1"/>
            </w:tcBorders>
            <w:shd w:val="clear" w:color="auto" w:fill="FFC000"/>
            <w:tcMar>
              <w:top w:w="57" w:type="dxa"/>
            </w:tcMar>
            <w:vAlign w:val="center"/>
          </w:tcPr>
          <w:p w:rsidR="00717AB7" w:rsidP="00717AB7">
            <w:pPr>
              <w:pStyle w:val="ESBodyText0"/>
              <w:spacing w:line="240" w:lineRule="auto"/>
              <w:jc w:val="center"/>
            </w:pPr>
            <w:r>
              <w:t>72.3%</w:t>
            </w:r>
          </w:p>
        </w:tc>
        <w:tc>
          <w:tcPr>
            <w:tcW w:w="1063" w:type="dxa"/>
            <w:tcBorders>
              <w:bottom w:val="single" w:sz="4" w:space="0" w:color="FFFFFF" w:themeColor="background1"/>
            </w:tcBorders>
            <w:shd w:val="clear" w:color="auto" w:fill="FFC000"/>
            <w:tcMar>
              <w:top w:w="57" w:type="dxa"/>
            </w:tcMar>
            <w:vAlign w:val="center"/>
          </w:tcPr>
          <w:p w:rsidR="00717AB7" w:rsidP="00717AB7">
            <w:pPr>
              <w:pStyle w:val="ESBodyText0"/>
              <w:spacing w:line="240" w:lineRule="auto"/>
              <w:jc w:val="center"/>
            </w:pPr>
            <w:r>
              <w:t>70.2%</w:t>
            </w:r>
          </w:p>
        </w:tc>
      </w:tr>
      <w:tr w:rsidTr="00717AB7">
        <w:tblPrEx>
          <w:tblW w:w="0" w:type="auto"/>
          <w:tblLook w:val="04A0"/>
        </w:tblPrEx>
        <w:trPr>
          <w:trHeight w:hRule="exact" w:val="567"/>
        </w:trPr>
        <w:tc>
          <w:tcPr>
            <w:tcW w:w="3119" w:type="dxa"/>
            <w:tcMar>
              <w:top w:w="57" w:type="dxa"/>
            </w:tcMar>
            <w:vAlign w:val="center"/>
          </w:tcPr>
          <w:p w:rsidR="00717AB7" w:rsidP="00717AB7">
            <w:pPr>
              <w:pStyle w:val="ESBodyText0"/>
              <w:spacing w:line="240" w:lineRule="auto"/>
            </w:pPr>
            <w:r>
              <w:t>Similar Schools average: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rsidR="00717AB7" w:rsidRPr="00B20B33" w:rsidP="00717AB7">
            <w:pPr>
              <w:pStyle w:val="ESBodyText0"/>
              <w:spacing w:line="240" w:lineRule="auto"/>
              <w:jc w:val="center"/>
              <w:rPr>
                <w:color w:val="FFFFFF" w:themeColor="background1"/>
              </w:rPr>
            </w:pPr>
            <w:r>
              <w:rPr>
                <w:color w:val="FFFFFF" w:themeColor="background1"/>
              </w:rPr>
              <w:t>74.8%</w:t>
            </w:r>
          </w:p>
        </w:tc>
        <w:tc>
          <w:tcPr>
            <w:tcW w:w="1063" w:type="dxa"/>
            <w:tcBorders>
              <w:top w:val="single" w:sz="4" w:space="0" w:color="FFFFFF" w:themeColor="background1"/>
              <w:bottom w:val="single" w:sz="4" w:space="0" w:color="FFFFFF" w:themeColor="background1"/>
            </w:tcBorders>
            <w:shd w:val="clear" w:color="auto" w:fill="7030A0"/>
            <w:tcMar>
              <w:top w:w="57" w:type="dxa"/>
            </w:tcMar>
            <w:vAlign w:val="center"/>
          </w:tcPr>
          <w:p w:rsidR="00717AB7" w:rsidRPr="00B20B33" w:rsidP="00717AB7">
            <w:pPr>
              <w:pStyle w:val="ESBodyText0"/>
              <w:spacing w:line="240" w:lineRule="auto"/>
              <w:jc w:val="center"/>
              <w:rPr>
                <w:color w:val="FFFFFF" w:themeColor="background1"/>
              </w:rPr>
            </w:pPr>
            <w:r>
              <w:rPr>
                <w:color w:val="FFFFFF" w:themeColor="background1"/>
              </w:rPr>
              <w:t>75.7%</w:t>
            </w:r>
          </w:p>
        </w:tc>
      </w:tr>
      <w:tr w:rsidTr="00717AB7">
        <w:tblPrEx>
          <w:tblW w:w="0" w:type="auto"/>
          <w:tblLook w:val="04A0"/>
        </w:tblPrEx>
        <w:trPr>
          <w:trHeight w:hRule="exact" w:val="567"/>
        </w:trPr>
        <w:tc>
          <w:tcPr>
            <w:tcW w:w="3119" w:type="dxa"/>
            <w:tcMar>
              <w:top w:w="57" w:type="dxa"/>
            </w:tcMar>
            <w:vAlign w:val="center"/>
          </w:tcPr>
          <w:p w:rsidR="00717AB7" w:rsidP="00717AB7">
            <w:pPr>
              <w:pStyle w:val="ESBodyText0"/>
              <w:spacing w:line="240" w:lineRule="auto"/>
            </w:pPr>
            <w:r>
              <w:t>State average:</w:t>
            </w:r>
          </w:p>
        </w:tc>
        <w:tc>
          <w:tcPr>
            <w:tcW w:w="1134" w:type="dxa"/>
            <w:tcBorders>
              <w:top w:val="single" w:sz="4" w:space="0" w:color="FFFFFF" w:themeColor="background1"/>
            </w:tcBorders>
            <w:shd w:val="clear" w:color="auto" w:fill="A6A6A6" w:themeFill="background1" w:themeFillShade="A6"/>
            <w:tcMar>
              <w:top w:w="57" w:type="dxa"/>
            </w:tcMar>
            <w:vAlign w:val="center"/>
          </w:tcPr>
          <w:p w:rsidR="00717AB7" w:rsidP="00717AB7">
            <w:pPr>
              <w:pStyle w:val="ESBodyText0"/>
              <w:spacing w:line="240" w:lineRule="auto"/>
              <w:jc w:val="center"/>
            </w:pPr>
            <w:r>
              <w:t>72.6%</w:t>
            </w:r>
          </w:p>
        </w:tc>
        <w:tc>
          <w:tcPr>
            <w:tcW w:w="1063" w:type="dxa"/>
            <w:tcBorders>
              <w:top w:val="single" w:sz="4" w:space="0" w:color="FFFFFF" w:themeColor="background1"/>
            </w:tcBorders>
            <w:shd w:val="clear" w:color="auto" w:fill="A6A6A6" w:themeFill="background1" w:themeFillShade="A6"/>
            <w:tcMar>
              <w:top w:w="57" w:type="dxa"/>
            </w:tcMar>
            <w:vAlign w:val="center"/>
          </w:tcPr>
          <w:p w:rsidR="00717AB7" w:rsidP="00717AB7">
            <w:pPr>
              <w:pStyle w:val="ESBodyText0"/>
              <w:spacing w:line="240" w:lineRule="auto"/>
              <w:jc w:val="center"/>
            </w:pPr>
            <w:r>
              <w:t>73.8%</w:t>
            </w:r>
          </w:p>
        </w:tc>
      </w:tr>
    </w:tbl>
    <w:p w:rsidR="00907E95" w:rsidP="00907E95">
      <w:pPr>
        <w:pStyle w:val="ESBodyText0"/>
      </w:pPr>
      <w:r>
        <w:rPr>
          <w:noProof/>
        </w:rPr>
        <w:drawing>
          <wp:anchor distT="0" distB="0" distL="114300" distR="114300" simplePos="0" relativeHeight="251678720" behindDoc="0" locked="0" layoutInCell="1" allowOverlap="1">
            <wp:simplePos x="0" y="0"/>
            <wp:positionH relativeFrom="column">
              <wp:posOffset>3536950</wp:posOffset>
            </wp:positionH>
            <wp:positionV relativeFrom="paragraph">
              <wp:posOffset>163195</wp:posOffset>
            </wp:positionV>
            <wp:extent cx="3562350" cy="1885950"/>
            <wp:effectExtent l="0" t="0" r="0" b="0"/>
            <wp:wrapNone/>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0F114C" w:rsidP="009E233C">
      <w:pPr>
        <w:pStyle w:val="ESBodyText0"/>
      </w:pPr>
    </w:p>
    <w:p w:rsidR="008D72EF" w:rsidP="009E233C">
      <w:pPr>
        <w:pStyle w:val="ESBodyText0"/>
      </w:pPr>
    </w:p>
    <w:p w:rsidR="008D72EF" w:rsidP="009E233C">
      <w:pPr>
        <w:pStyle w:val="ESBodyText0"/>
      </w:pPr>
    </w:p>
    <w:p w:rsidR="000F114C" w:rsidP="009E233C">
      <w:pPr>
        <w:pStyle w:val="ESBodyText0"/>
      </w:pPr>
    </w:p>
    <w:p w:rsidR="000F114C" w:rsidP="009E233C">
      <w:pPr>
        <w:pStyle w:val="ESBodyText0"/>
      </w:pPr>
    </w:p>
    <w:p w:rsidR="000F114C" w:rsidP="009E233C">
      <w:pPr>
        <w:pStyle w:val="ESBodyText0"/>
      </w:pPr>
    </w:p>
    <w:p w:rsidR="000F114C" w:rsidP="009E233C">
      <w:pPr>
        <w:pStyle w:val="ESBodyText0"/>
      </w:pPr>
    </w:p>
    <w:p w:rsidR="00F5681D" w:rsidP="009E233C">
      <w:pPr>
        <w:pStyle w:val="ESBodyText0"/>
      </w:pPr>
    </w:p>
    <w:p w:rsidR="00F5681D" w:rsidP="009E233C">
      <w:pPr>
        <w:pStyle w:val="ESBodyText0"/>
      </w:pPr>
    </w:p>
    <w:p w:rsidR="00F5681D" w:rsidP="009E233C">
      <w:pPr>
        <w:pStyle w:val="ESBodyText0"/>
      </w:pPr>
    </w:p>
    <w:p w:rsidR="00F5681D" w:rsidP="009E233C">
      <w:pPr>
        <w:pStyle w:val="ESBodyText0"/>
      </w:pPr>
    </w:p>
    <w:p w:rsidR="00F5681D" w:rsidP="009E233C">
      <w:pPr>
        <w:pStyle w:val="ESBodyText0"/>
      </w:pPr>
    </w:p>
    <w:p w:rsidR="00F5681D" w:rsidP="009E233C">
      <w:pPr>
        <w:pStyle w:val="ESBodyText0"/>
      </w:pPr>
    </w:p>
    <w:p w:rsidR="00F5681D" w:rsidP="00F5681D">
      <w:pPr>
        <w:pStyle w:val="Style10"/>
      </w:pPr>
      <w:r>
        <w:t>ENGAGEMENT (continued)</w:t>
      </w:r>
    </w:p>
    <w:p w:rsidR="00F5681D" w:rsidRPr="007F1B5B" w:rsidP="00F5681D">
      <w:pPr>
        <w:pStyle w:val="ESBodyText0"/>
        <w:spacing w:before="240" w:line="240" w:lineRule="auto"/>
        <w:ind w:left="567" w:hanging="567"/>
        <w:rPr>
          <w:b/>
          <w:i/>
        </w:rPr>
      </w:pPr>
      <w:r>
        <w:rPr>
          <w:b/>
          <w:i/>
        </w:rPr>
        <w:t>Key:</w:t>
      </w:r>
      <w:r>
        <w:rPr>
          <w:b/>
          <w:i/>
        </w:rPr>
        <w:tab/>
        <w:t xml:space="preserve">‘Similar Schools’ are a group of Victorian government schools that are like this school, </w:t>
      </w:r>
      <w:r>
        <w:rPr>
          <w:b/>
          <w:i/>
        </w:rPr>
        <w:t>taking into account</w:t>
      </w:r>
      <w:r>
        <w:rPr>
          <w:b/>
          <w:i/>
        </w:rPr>
        <w:t xml:space="preserve"> the school’s socioeconomic background of students, the number of non-English speaking students and the size and location of the school.</w:t>
      </w:r>
    </w:p>
    <w:p w:rsidR="00F5681D" w:rsidP="00F5681D">
      <w:pPr>
        <w:pStyle w:val="ESHeading30"/>
      </w:pPr>
      <w:r>
        <w:t xml:space="preserve">Students exiting to further studies or full-time </w:t>
      </w:r>
      <w:r>
        <w:t>employment</w:t>
      </w:r>
    </w:p>
    <w:p w:rsidR="00F5681D" w:rsidP="00F5681D">
      <w:pPr>
        <w:pStyle w:val="ESBodyText0"/>
      </w:pPr>
      <w:r>
        <w:t>Percentage of students from Years 10 to 12 going on to further studies or full-time employment.</w:t>
      </w:r>
    </w:p>
    <w:p w:rsidR="00F5681D" w:rsidP="00F5681D">
      <w:pPr>
        <w:pStyle w:val="ESBodyText0"/>
        <w:spacing w:after="0"/>
      </w:pPr>
      <w:r>
        <w:t>Note:</w:t>
      </w:r>
      <w:r>
        <w:tab/>
        <w:t>This measure refers to data from the year when students exited the school.</w:t>
      </w:r>
    </w:p>
    <w:p w:rsidR="00F5681D" w:rsidP="00F5681D">
      <w:pPr>
        <w:pStyle w:val="ESBodyText0"/>
        <w:ind w:firstLine="720"/>
      </w:pPr>
      <w:r>
        <w:t>Data excludes destinations recorded as 'Unknown'.</w:t>
      </w:r>
    </w:p>
    <w:p w:rsidR="00F5681D" w:rsidP="00F5681D">
      <w:pPr>
        <w:pStyle w:val="ESBodyText0"/>
        <w:ind w:firstLine="720"/>
      </w:pPr>
      <w:r>
        <w:rPr>
          <w:noProof/>
        </w:rPr>
        <w:drawing>
          <wp:anchor distT="0" distB="0" distL="114300" distR="114300" simplePos="0" relativeHeight="251679744" behindDoc="0" locked="0" layoutInCell="1" allowOverlap="1">
            <wp:simplePos x="0" y="0"/>
            <wp:positionH relativeFrom="column">
              <wp:posOffset>3380105</wp:posOffset>
            </wp:positionH>
            <wp:positionV relativeFrom="paragraph">
              <wp:posOffset>156845</wp:posOffset>
            </wp:positionV>
            <wp:extent cx="3524250" cy="2000250"/>
            <wp:effectExtent l="0" t="0" r="0" b="0"/>
            <wp:wrapNone/>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134"/>
        <w:gridCol w:w="1060"/>
      </w:tblGrid>
      <w:tr w:rsidTr="00000FB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19" w:type="dxa"/>
            <w:vAlign w:val="bottom"/>
          </w:tcPr>
          <w:p w:rsidR="00F5681D" w:rsidP="00000FB7">
            <w:pPr>
              <w:spacing w:after="0" w:line="240" w:lineRule="auto"/>
              <w:rPr>
                <w:rFonts w:eastAsia="Times New Roman"/>
                <w:b/>
                <w:bCs/>
                <w:color w:val="000000"/>
                <w:lang w:val="en-AU" w:eastAsia="en-AU"/>
              </w:rPr>
            </w:pPr>
            <w:r w:rsidRPr="006F0563">
              <w:rPr>
                <w:rFonts w:eastAsia="Times New Roman"/>
                <w:b/>
                <w:bCs/>
                <w:color w:val="000000"/>
                <w:lang w:val="en-AU" w:eastAsia="en-AU"/>
              </w:rPr>
              <w:t xml:space="preserve">Student </w:t>
            </w:r>
            <w:r>
              <w:rPr>
                <w:rFonts w:eastAsia="Times New Roman"/>
                <w:b/>
                <w:bCs/>
                <w:color w:val="000000"/>
                <w:lang w:val="en-AU" w:eastAsia="en-AU"/>
              </w:rPr>
              <w:t>Exits</w:t>
            </w:r>
          </w:p>
          <w:p w:rsidR="00F5681D" w:rsidRPr="00B20B33" w:rsidP="00000FB7">
            <w:pPr>
              <w:pStyle w:val="ESBodyText0"/>
              <w:spacing w:line="240" w:lineRule="auto"/>
              <w:rPr>
                <w:b/>
                <w:bCs/>
              </w:rPr>
            </w:pPr>
            <w:r>
              <w:rPr>
                <w:rFonts w:eastAsia="Times New Roman"/>
                <w:b/>
                <w:bCs/>
                <w:color w:val="000000"/>
                <w:lang w:val="en-AU" w:eastAsia="en-AU"/>
              </w:rPr>
              <w:t>Years 10 to 12</w:t>
            </w:r>
          </w:p>
        </w:tc>
        <w:tc>
          <w:tcPr>
            <w:tcW w:w="1134" w:type="dxa"/>
            <w:vAlign w:val="bottom"/>
          </w:tcPr>
          <w:p w:rsidR="00F5681D" w:rsidP="00000FB7">
            <w:pPr>
              <w:pStyle w:val="ESBodyText0"/>
              <w:spacing w:line="240" w:lineRule="auto"/>
              <w:jc w:val="center"/>
            </w:pPr>
            <w:r>
              <w:t>Latest year (202</w:t>
            </w:r>
            <w:r w:rsidR="00594C01">
              <w:t>2</w:t>
            </w:r>
            <w:r>
              <w:t>)</w:t>
            </w:r>
          </w:p>
        </w:tc>
        <w:tc>
          <w:tcPr>
            <w:tcW w:w="1060" w:type="dxa"/>
            <w:vAlign w:val="bottom"/>
          </w:tcPr>
          <w:p w:rsidR="00F5681D" w:rsidP="00000FB7">
            <w:pPr>
              <w:pStyle w:val="ESBodyText0"/>
              <w:spacing w:line="240" w:lineRule="auto"/>
              <w:jc w:val="center"/>
            </w:pPr>
            <w:r>
              <w:t>4-year average</w:t>
            </w:r>
          </w:p>
        </w:tc>
      </w:tr>
      <w:tr w:rsidTr="00A56951">
        <w:tblPrEx>
          <w:tblW w:w="0" w:type="auto"/>
          <w:tblLayout w:type="fixed"/>
          <w:tblLook w:val="04A0"/>
        </w:tblPrEx>
        <w:trPr>
          <w:trHeight w:hRule="exact" w:val="580"/>
        </w:trPr>
        <w:tc>
          <w:tcPr>
            <w:tcW w:w="3119" w:type="dxa"/>
            <w:tcMar>
              <w:top w:w="57" w:type="dxa"/>
            </w:tcMar>
            <w:vAlign w:val="center"/>
          </w:tcPr>
          <w:p w:rsidR="00F5681D" w:rsidP="00000FB7">
            <w:pPr>
              <w:pStyle w:val="ESBodyText0"/>
              <w:spacing w:line="240" w:lineRule="auto"/>
            </w:pPr>
            <w:r>
              <w:t>School percent of students to further studies or full-time employment:</w:t>
            </w:r>
          </w:p>
        </w:tc>
        <w:tc>
          <w:tcPr>
            <w:tcW w:w="1134" w:type="dxa"/>
            <w:tcBorders>
              <w:bottom w:val="single" w:sz="4" w:space="0" w:color="FFFFFF" w:themeColor="background1"/>
            </w:tcBorders>
            <w:shd w:val="clear" w:color="auto" w:fill="FFC000"/>
            <w:tcMar>
              <w:top w:w="57" w:type="dxa"/>
            </w:tcMar>
            <w:vAlign w:val="center"/>
          </w:tcPr>
          <w:p w:rsidR="00F5681D" w:rsidP="00000FB7">
            <w:pPr>
              <w:pStyle w:val="ESBodyText0"/>
              <w:spacing w:line="240" w:lineRule="auto"/>
              <w:jc w:val="center"/>
            </w:pPr>
            <w:r>
              <w:t>99.3%</w:t>
            </w:r>
          </w:p>
        </w:tc>
        <w:tc>
          <w:tcPr>
            <w:tcW w:w="1060" w:type="dxa"/>
            <w:tcBorders>
              <w:bottom w:val="single" w:sz="4" w:space="0" w:color="FFFFFF" w:themeColor="background1"/>
            </w:tcBorders>
            <w:shd w:val="clear" w:color="auto" w:fill="FFC000"/>
            <w:tcMar>
              <w:top w:w="57" w:type="dxa"/>
            </w:tcMar>
            <w:vAlign w:val="center"/>
          </w:tcPr>
          <w:p w:rsidR="00F5681D" w:rsidP="00000FB7">
            <w:pPr>
              <w:pStyle w:val="ESBodyText0"/>
              <w:spacing w:line="240" w:lineRule="auto"/>
              <w:jc w:val="center"/>
            </w:pPr>
            <w:r>
              <w:t>99.0%</w:t>
            </w:r>
          </w:p>
        </w:tc>
      </w:tr>
      <w:tr w:rsidTr="00000FB7">
        <w:tblPrEx>
          <w:tblW w:w="0" w:type="auto"/>
          <w:tblLayout w:type="fixed"/>
          <w:tblLook w:val="04A0"/>
        </w:tblPrEx>
        <w:trPr>
          <w:trHeight w:hRule="exact" w:val="567"/>
        </w:trPr>
        <w:tc>
          <w:tcPr>
            <w:tcW w:w="3119" w:type="dxa"/>
            <w:tcMar>
              <w:top w:w="57" w:type="dxa"/>
            </w:tcMar>
            <w:vAlign w:val="center"/>
          </w:tcPr>
          <w:p w:rsidR="00F5681D" w:rsidP="00000FB7">
            <w:pPr>
              <w:pStyle w:val="ESBodyText0"/>
              <w:spacing w:line="240" w:lineRule="auto"/>
            </w:pPr>
            <w:r>
              <w:t>Similar Schools average:</w:t>
            </w:r>
          </w:p>
        </w:tc>
        <w:tc>
          <w:tcPr>
            <w:tcW w:w="1134" w:type="dxa"/>
            <w:tcBorders>
              <w:top w:val="single" w:sz="4" w:space="0" w:color="FFFFFF" w:themeColor="background1"/>
              <w:bottom w:val="single" w:sz="4" w:space="0" w:color="FFFFFF" w:themeColor="background1"/>
            </w:tcBorders>
            <w:shd w:val="clear" w:color="auto" w:fill="7030A0"/>
            <w:tcMar>
              <w:top w:w="57" w:type="dxa"/>
            </w:tcMar>
            <w:vAlign w:val="center"/>
          </w:tcPr>
          <w:p w:rsidR="00F5681D" w:rsidRPr="00B20B33" w:rsidP="00000FB7">
            <w:pPr>
              <w:pStyle w:val="ESBodyText0"/>
              <w:spacing w:line="240" w:lineRule="auto"/>
              <w:jc w:val="center"/>
              <w:rPr>
                <w:color w:val="FFFFFF" w:themeColor="background1"/>
              </w:rPr>
            </w:pPr>
            <w:r>
              <w:rPr>
                <w:color w:val="FFFFFF" w:themeColor="background1"/>
              </w:rPr>
              <w:t>89.9%</w:t>
            </w:r>
          </w:p>
        </w:tc>
        <w:tc>
          <w:tcPr>
            <w:tcW w:w="1060" w:type="dxa"/>
            <w:tcBorders>
              <w:top w:val="single" w:sz="4" w:space="0" w:color="FFFFFF" w:themeColor="background1"/>
              <w:bottom w:val="single" w:sz="4" w:space="0" w:color="FFFFFF" w:themeColor="background1"/>
            </w:tcBorders>
            <w:shd w:val="clear" w:color="auto" w:fill="7030A0"/>
            <w:tcMar>
              <w:top w:w="57" w:type="dxa"/>
            </w:tcMar>
            <w:vAlign w:val="center"/>
          </w:tcPr>
          <w:p w:rsidR="00F5681D" w:rsidRPr="00B20B33" w:rsidP="00000FB7">
            <w:pPr>
              <w:pStyle w:val="ESBodyText0"/>
              <w:spacing w:line="240" w:lineRule="auto"/>
              <w:jc w:val="center"/>
              <w:rPr>
                <w:color w:val="FFFFFF" w:themeColor="background1"/>
              </w:rPr>
            </w:pPr>
            <w:r>
              <w:rPr>
                <w:color w:val="FFFFFF" w:themeColor="background1"/>
              </w:rPr>
              <w:t>90.4%</w:t>
            </w:r>
          </w:p>
        </w:tc>
      </w:tr>
      <w:tr w:rsidTr="00000FB7">
        <w:tblPrEx>
          <w:tblW w:w="0" w:type="auto"/>
          <w:tblLayout w:type="fixed"/>
          <w:tblLook w:val="04A0"/>
        </w:tblPrEx>
        <w:trPr>
          <w:trHeight w:hRule="exact" w:val="567"/>
        </w:trPr>
        <w:tc>
          <w:tcPr>
            <w:tcW w:w="3119" w:type="dxa"/>
            <w:tcMar>
              <w:top w:w="57" w:type="dxa"/>
            </w:tcMar>
            <w:vAlign w:val="center"/>
          </w:tcPr>
          <w:p w:rsidR="00F5681D" w:rsidP="00000FB7">
            <w:pPr>
              <w:pStyle w:val="ESBodyText0"/>
              <w:spacing w:line="240" w:lineRule="auto"/>
            </w:pPr>
            <w:r>
              <w:t>State average:</w:t>
            </w:r>
          </w:p>
        </w:tc>
        <w:tc>
          <w:tcPr>
            <w:tcW w:w="1134" w:type="dxa"/>
            <w:tcBorders>
              <w:top w:val="single" w:sz="4" w:space="0" w:color="FFFFFF" w:themeColor="background1"/>
            </w:tcBorders>
            <w:shd w:val="clear" w:color="auto" w:fill="A6A6A6" w:themeFill="background1" w:themeFillShade="A6"/>
            <w:tcMar>
              <w:top w:w="57" w:type="dxa"/>
            </w:tcMar>
            <w:vAlign w:val="center"/>
          </w:tcPr>
          <w:p w:rsidR="00F5681D" w:rsidP="00000FB7">
            <w:pPr>
              <w:pStyle w:val="ESBodyText0"/>
              <w:spacing w:line="240" w:lineRule="auto"/>
              <w:jc w:val="center"/>
            </w:pPr>
            <w:r>
              <w:t>89.5%</w:t>
            </w:r>
          </w:p>
        </w:tc>
        <w:tc>
          <w:tcPr>
            <w:tcW w:w="1060" w:type="dxa"/>
            <w:tcBorders>
              <w:top w:val="single" w:sz="4" w:space="0" w:color="FFFFFF" w:themeColor="background1"/>
            </w:tcBorders>
            <w:shd w:val="clear" w:color="auto" w:fill="A6A6A6" w:themeFill="background1" w:themeFillShade="A6"/>
            <w:tcMar>
              <w:top w:w="57" w:type="dxa"/>
            </w:tcMar>
            <w:vAlign w:val="center"/>
          </w:tcPr>
          <w:p w:rsidR="00F5681D" w:rsidP="00000FB7">
            <w:pPr>
              <w:pStyle w:val="ESBodyText0"/>
              <w:spacing w:line="240" w:lineRule="auto"/>
              <w:jc w:val="center"/>
            </w:pPr>
            <w:r>
              <w:t>89.5%</w:t>
            </w:r>
          </w:p>
        </w:tc>
      </w:tr>
    </w:tbl>
    <w:p w:rsidR="000F114C"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P="009E233C">
      <w:pPr>
        <w:pStyle w:val="ESBodyText0"/>
      </w:pPr>
    </w:p>
    <w:p w:rsidR="00681E32" w:rsidRPr="007F1B5B" w:rsidP="00681E32">
      <w:pPr>
        <w:pStyle w:val="Style10"/>
      </w:pPr>
      <w:r w:rsidRPr="0017363D">
        <w:rPr>
          <w:b/>
          <w:bCs w:val="0"/>
          <w:sz w:val="44"/>
          <w:szCs w:val="52"/>
        </w:rPr>
        <w:t>Financial Performance and Position</w:t>
      </w:r>
    </w:p>
    <w:p w:rsidR="00681E32" w:rsidP="00681E32">
      <w:pPr>
        <w:pStyle w:val="ESBodyText0"/>
        <w:rPr>
          <w:color w:val="C00000"/>
          <w:sz w:val="24"/>
          <w:szCs w:val="24"/>
        </w:rPr>
      </w:pPr>
      <w:r w:rsidRPr="0099239B">
        <w:rPr>
          <w:color w:val="C00000"/>
          <w:sz w:val="24"/>
          <w:szCs w:val="24"/>
        </w:rPr>
        <w:t xml:space="preserve">Financial Performance - Operating Statement Summary for the year ending 31 December, </w:t>
      </w:r>
      <w:r>
        <w:rPr>
          <w:color w:val="C00000"/>
          <w:sz w:val="24"/>
          <w:szCs w:val="24"/>
        </w:rPr>
        <w:t>2023</w:t>
      </w:r>
    </w:p>
    <w:p w:rsidR="00681E32" w:rsidP="00681E32">
      <w:pPr>
        <w:pStyle w:val="ESBodyText0"/>
        <w:rPr>
          <w:color w:val="C00000"/>
          <w:sz w:val="24"/>
          <w:szCs w:val="24"/>
        </w:rPr>
      </w:pPr>
    </w:p>
    <w:tbl>
      <w:tblPr>
        <w:tblStyle w:val="GridTable2-Accent612"/>
        <w:tblCaption w:val="Finance - Revenue table"/>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tblPr>
      <w:tblGrid>
        <w:gridCol w:w="4426"/>
        <w:gridCol w:w="1764"/>
      </w:tblGrid>
      <w:tr w:rsidTr="00000FB7">
        <w:tblPrEx>
          <w:tblW w:w="2876" w:type="pct"/>
          <w:jc w:val="center"/>
          <w:tblBorders>
            <w:top w:val="none" w:sz="0" w:space="0" w:color="auto"/>
            <w:bottom w:val="none" w:sz="0" w:space="0" w:color="auto"/>
            <w:right w:val="single" w:sz="4" w:space="0" w:color="FFFFFF" w:themeColor="background1"/>
            <w:insideH w:val="none" w:sz="0" w:space="0" w:color="auto"/>
            <w:insideV w:val="none" w:sz="0" w:space="0" w:color="auto"/>
          </w:tblBorders>
          <w:tblLook w:val="04A0"/>
        </w:tblPrEx>
        <w:trPr>
          <w:trHeight w:hRule="exact" w:val="284"/>
          <w:tblHeader/>
          <w:jc w:val="center"/>
        </w:trPr>
        <w:tc>
          <w:tcPr>
            <w:tcW w:w="3575" w:type="pct"/>
            <w:tcBorders>
              <w:top w:val="none" w:sz="0" w:space="0" w:color="auto"/>
              <w:bottom w:val="single" w:sz="4" w:space="0" w:color="FFFFFF" w:themeColor="background1"/>
              <w:right w:val="single" w:sz="4" w:space="0" w:color="FFFFFF" w:themeColor="background1"/>
            </w:tcBorders>
            <w:shd w:val="clear" w:color="auto" w:fill="A6A6A6" w:themeFill="background1" w:themeFillShade="A6"/>
            <w:vAlign w:val="center"/>
            <w:hideMark/>
          </w:tcPr>
          <w:p w:rsidR="00681E32" w:rsidRPr="00243D95" w:rsidP="00000FB7">
            <w:pPr>
              <w:spacing w:before="40" w:after="40" w:line="240" w:lineRule="auto"/>
              <w:rPr>
                <w:rFonts w:cs="Times New Roman"/>
                <w:bCs w:val="0"/>
                <w:szCs w:val="22"/>
              </w:rPr>
            </w:pPr>
            <w:bookmarkStart w:id="1" w:name="Table_2"/>
            <w:r w:rsidRPr="00243D95">
              <w:rPr>
                <w:rFonts w:cs="Times New Roman"/>
                <w:bCs w:val="0"/>
                <w:szCs w:val="22"/>
              </w:rPr>
              <w:t>Revenue</w:t>
            </w:r>
          </w:p>
        </w:tc>
        <w:tc>
          <w:tcPr>
            <w:tcW w:w="1425" w:type="pct"/>
            <w:tcBorders>
              <w:top w:val="none" w:sz="0" w:space="0" w:color="auto"/>
              <w:left w:val="single" w:sz="4" w:space="0" w:color="FFFFFF" w:themeColor="background1"/>
              <w:bottom w:val="single" w:sz="4" w:space="0" w:color="FFFFFF" w:themeColor="background1"/>
            </w:tcBorders>
            <w:shd w:val="clear" w:color="auto" w:fill="FFC000"/>
            <w:vAlign w:val="center"/>
            <w:hideMark/>
          </w:tcPr>
          <w:p w:rsidR="00681E32" w:rsidRPr="00243D95" w:rsidP="00000FB7">
            <w:pPr>
              <w:spacing w:before="40" w:after="40" w:line="240" w:lineRule="auto"/>
              <w:jc w:val="right"/>
              <w:rPr>
                <w:rFonts w:cs="Times New Roman"/>
                <w:bCs w:val="0"/>
                <w:szCs w:val="22"/>
              </w:rPr>
            </w:pPr>
            <w:r w:rsidRPr="00243D95">
              <w:rPr>
                <w:rFonts w:cs="Times New Roman"/>
                <w:bCs w:val="0"/>
                <w:szCs w:val="22"/>
              </w:rPr>
              <w:t>Actual</w:t>
            </w:r>
          </w:p>
        </w:tc>
      </w:tr>
      <w:tr w:rsidTr="00000FB7">
        <w:tblPrEx>
          <w:tblW w:w="2876" w:type="pct"/>
          <w:jc w:val="center"/>
          <w:tblLook w:val="04A0"/>
        </w:tblPrEx>
        <w:trPr>
          <w:trHeight w:hRule="exact" w:val="284"/>
          <w:jc w:val="center"/>
        </w:trPr>
        <w:tc>
          <w:tcPr>
            <w:tcW w:w="3575" w:type="pct"/>
            <w:tcBorders>
              <w:top w:val="single" w:sz="4" w:space="0" w:color="FFFFFF" w:themeColor="background1"/>
            </w:tcBorders>
            <w:shd w:val="clear" w:color="auto" w:fill="D9D9D9" w:themeFill="background1" w:themeFillShade="D9"/>
            <w:noWrap/>
            <w:vAlign w:val="center"/>
            <w:hideMark/>
          </w:tcPr>
          <w:p w:rsidR="00681E32" w:rsidP="00000FB7">
            <w:pPr>
              <w:spacing w:before="40" w:after="40" w:line="240" w:lineRule="auto"/>
              <w:rPr>
                <w:rFonts w:cs="Times New Roman"/>
                <w:b w:val="0"/>
                <w:szCs w:val="22"/>
              </w:rPr>
            </w:pPr>
            <w:r>
              <w:rPr>
                <w:rFonts w:cs="Times New Roman"/>
                <w:b w:val="0"/>
                <w:szCs w:val="22"/>
              </w:rPr>
              <w:t>Student Resource Package</w:t>
            </w:r>
          </w:p>
        </w:tc>
        <w:tc>
          <w:tcPr>
            <w:tcW w:w="1425" w:type="pct"/>
            <w:tcBorders>
              <w:top w:val="single" w:sz="4" w:space="0" w:color="FFFFFF" w:themeColor="background1"/>
            </w:tcBorders>
            <w:shd w:val="clear" w:color="auto" w:fill="D9D9D9" w:themeFill="background1" w:themeFillShade="D9"/>
            <w:noWrap/>
            <w:vAlign w:val="center"/>
          </w:tcPr>
          <w:p w:rsidR="00681E32" w:rsidP="00000FB7">
            <w:pPr>
              <w:jc w:val="right"/>
            </w:pPr>
            <w:r>
              <w:t>$19,089,537</w:t>
            </w:r>
          </w:p>
        </w:tc>
      </w:tr>
      <w:tr w:rsidTr="00000FB7">
        <w:tblPrEx>
          <w:tblW w:w="2876" w:type="pct"/>
          <w:jc w:val="center"/>
          <w:tblLook w:val="04A0"/>
        </w:tblPrEx>
        <w:trPr>
          <w:trHeight w:hRule="exact" w:val="284"/>
          <w:jc w:val="center"/>
        </w:trPr>
        <w:tc>
          <w:tcPr>
            <w:tcW w:w="3575" w:type="pct"/>
            <w:shd w:val="clear" w:color="auto" w:fill="F2F2F2" w:themeFill="background1" w:themeFillShade="F2"/>
            <w:noWrap/>
            <w:vAlign w:val="center"/>
            <w:hideMark/>
          </w:tcPr>
          <w:p w:rsidR="00681E32" w:rsidP="00000FB7">
            <w:pPr>
              <w:spacing w:before="40" w:after="40" w:line="240" w:lineRule="auto"/>
              <w:rPr>
                <w:rFonts w:cs="Times New Roman"/>
                <w:b w:val="0"/>
                <w:szCs w:val="22"/>
              </w:rPr>
            </w:pPr>
            <w:r>
              <w:rPr>
                <w:rFonts w:cs="Times New Roman"/>
                <w:b w:val="0"/>
                <w:szCs w:val="22"/>
              </w:rPr>
              <w:t>Government Provided DET Grants</w:t>
            </w:r>
          </w:p>
        </w:tc>
        <w:tc>
          <w:tcPr>
            <w:tcW w:w="1425" w:type="pct"/>
            <w:shd w:val="clear" w:color="auto" w:fill="F2F2F2" w:themeFill="background1" w:themeFillShade="F2"/>
            <w:noWrap/>
            <w:vAlign w:val="center"/>
          </w:tcPr>
          <w:p w:rsidR="00681E32" w:rsidP="00000FB7">
            <w:pPr>
              <w:jc w:val="right"/>
            </w:pPr>
            <w:r>
              <w:t>$3,432,157</w:t>
            </w:r>
          </w:p>
        </w:tc>
      </w:tr>
      <w:tr w:rsidTr="00000FB7">
        <w:tblPrEx>
          <w:tblW w:w="2876" w:type="pct"/>
          <w:jc w:val="center"/>
          <w:tblLook w:val="04A0"/>
        </w:tblPrEx>
        <w:trPr>
          <w:trHeight w:hRule="exact" w:val="284"/>
          <w:jc w:val="center"/>
        </w:trPr>
        <w:tc>
          <w:tcPr>
            <w:tcW w:w="3575" w:type="pct"/>
            <w:shd w:val="clear" w:color="auto" w:fill="D9D9D9" w:themeFill="background1" w:themeFillShade="D9"/>
            <w:noWrap/>
            <w:vAlign w:val="center"/>
            <w:hideMark/>
          </w:tcPr>
          <w:p w:rsidR="00681E32" w:rsidP="00000FB7">
            <w:pPr>
              <w:spacing w:before="40" w:after="40" w:line="240" w:lineRule="auto"/>
              <w:rPr>
                <w:rFonts w:cs="Times New Roman"/>
                <w:b w:val="0"/>
                <w:szCs w:val="22"/>
              </w:rPr>
            </w:pPr>
            <w:r>
              <w:rPr>
                <w:rFonts w:cs="Times New Roman"/>
                <w:b w:val="0"/>
                <w:szCs w:val="22"/>
              </w:rPr>
              <w:t>Government Grants Commonwealth</w:t>
            </w:r>
          </w:p>
        </w:tc>
        <w:tc>
          <w:tcPr>
            <w:tcW w:w="1425" w:type="pct"/>
            <w:shd w:val="clear" w:color="auto" w:fill="D9D9D9" w:themeFill="background1" w:themeFillShade="D9"/>
            <w:noWrap/>
            <w:vAlign w:val="center"/>
          </w:tcPr>
          <w:p w:rsidR="00681E32" w:rsidP="00000FB7">
            <w:pPr>
              <w:jc w:val="right"/>
            </w:pPr>
            <w:r>
              <w:t>$27,545</w:t>
            </w:r>
          </w:p>
        </w:tc>
      </w:tr>
      <w:tr w:rsidTr="00000FB7">
        <w:tblPrEx>
          <w:tblW w:w="2876" w:type="pct"/>
          <w:jc w:val="center"/>
          <w:tblLook w:val="04A0"/>
        </w:tblPrEx>
        <w:trPr>
          <w:trHeight w:hRule="exact" w:val="284"/>
          <w:jc w:val="center"/>
        </w:trPr>
        <w:tc>
          <w:tcPr>
            <w:tcW w:w="3575" w:type="pct"/>
            <w:shd w:val="clear" w:color="auto" w:fill="F2F2F2" w:themeFill="background1" w:themeFillShade="F2"/>
            <w:noWrap/>
            <w:vAlign w:val="center"/>
            <w:hideMark/>
          </w:tcPr>
          <w:p w:rsidR="00681E32" w:rsidP="00000FB7">
            <w:pPr>
              <w:spacing w:before="40" w:after="40" w:line="240" w:lineRule="auto"/>
              <w:rPr>
                <w:rFonts w:cs="Times New Roman"/>
                <w:b w:val="0"/>
                <w:szCs w:val="22"/>
              </w:rPr>
            </w:pPr>
            <w:r>
              <w:rPr>
                <w:rFonts w:cs="Times New Roman"/>
                <w:b w:val="0"/>
                <w:szCs w:val="22"/>
              </w:rPr>
              <w:t>Government Grants State</w:t>
            </w:r>
          </w:p>
        </w:tc>
        <w:tc>
          <w:tcPr>
            <w:tcW w:w="1425" w:type="pct"/>
            <w:shd w:val="clear" w:color="auto" w:fill="F2F2F2" w:themeFill="background1" w:themeFillShade="F2"/>
            <w:noWrap/>
            <w:vAlign w:val="center"/>
          </w:tcPr>
          <w:p w:rsidR="00681E32" w:rsidP="00000FB7">
            <w:pPr>
              <w:jc w:val="right"/>
            </w:pPr>
            <w:r>
              <w:t>$0</w:t>
            </w:r>
          </w:p>
        </w:tc>
      </w:tr>
      <w:tr w:rsidTr="00000FB7">
        <w:tblPrEx>
          <w:tblW w:w="2876" w:type="pct"/>
          <w:jc w:val="center"/>
          <w:tblLook w:val="04A0"/>
        </w:tblPrEx>
        <w:trPr>
          <w:trHeight w:hRule="exact" w:val="284"/>
          <w:jc w:val="center"/>
        </w:trPr>
        <w:tc>
          <w:tcPr>
            <w:tcW w:w="3575" w:type="pct"/>
            <w:shd w:val="clear" w:color="auto" w:fill="D9D9D9" w:themeFill="background1" w:themeFillShade="D9"/>
            <w:noWrap/>
            <w:vAlign w:val="center"/>
            <w:hideMark/>
          </w:tcPr>
          <w:p w:rsidR="00681E32" w:rsidP="00000FB7">
            <w:pPr>
              <w:spacing w:before="40" w:after="40" w:line="240" w:lineRule="auto"/>
              <w:rPr>
                <w:rFonts w:cs="Times New Roman"/>
                <w:b w:val="0"/>
                <w:szCs w:val="22"/>
              </w:rPr>
            </w:pPr>
            <w:r>
              <w:rPr>
                <w:rFonts w:cs="Times New Roman"/>
                <w:b w:val="0"/>
                <w:bCs w:val="0"/>
                <w:szCs w:val="22"/>
              </w:rPr>
              <w:t>Revenue Other</w:t>
            </w:r>
          </w:p>
        </w:tc>
        <w:tc>
          <w:tcPr>
            <w:tcW w:w="1425" w:type="pct"/>
            <w:shd w:val="clear" w:color="auto" w:fill="D9D9D9" w:themeFill="background1" w:themeFillShade="D9"/>
            <w:noWrap/>
            <w:vAlign w:val="center"/>
          </w:tcPr>
          <w:p w:rsidR="00681E32" w:rsidP="00000FB7">
            <w:pPr>
              <w:jc w:val="right"/>
            </w:pPr>
            <w:r>
              <w:t>$116,118</w:t>
            </w:r>
          </w:p>
        </w:tc>
      </w:tr>
      <w:tr w:rsidTr="00000FB7">
        <w:tblPrEx>
          <w:tblW w:w="2876" w:type="pct"/>
          <w:jc w:val="center"/>
          <w:tblLook w:val="04A0"/>
        </w:tblPrEx>
        <w:trPr>
          <w:trHeight w:hRule="exact" w:val="284"/>
          <w:jc w:val="center"/>
        </w:trPr>
        <w:tc>
          <w:tcPr>
            <w:tcW w:w="3575" w:type="pct"/>
            <w:shd w:val="clear" w:color="auto" w:fill="F2F2F2" w:themeFill="background1" w:themeFillShade="F2"/>
            <w:noWrap/>
            <w:vAlign w:val="center"/>
          </w:tcPr>
          <w:p w:rsidR="00681E32" w:rsidP="00000FB7">
            <w:pPr>
              <w:spacing w:before="40" w:after="40" w:line="240" w:lineRule="auto"/>
              <w:rPr>
                <w:rFonts w:cs="Times New Roman"/>
                <w:b w:val="0"/>
                <w:bCs w:val="0"/>
                <w:szCs w:val="22"/>
              </w:rPr>
            </w:pPr>
            <w:r>
              <w:rPr>
                <w:rFonts w:cs="Times New Roman"/>
                <w:b w:val="0"/>
                <w:bCs w:val="0"/>
                <w:szCs w:val="22"/>
              </w:rPr>
              <w:t>Locally Raised Funds</w:t>
            </w:r>
          </w:p>
        </w:tc>
        <w:tc>
          <w:tcPr>
            <w:tcW w:w="1425" w:type="pct"/>
            <w:shd w:val="clear" w:color="auto" w:fill="F2F2F2" w:themeFill="background1" w:themeFillShade="F2"/>
            <w:noWrap/>
            <w:vAlign w:val="center"/>
          </w:tcPr>
          <w:p w:rsidR="00681E32" w:rsidP="00000FB7">
            <w:pPr>
              <w:jc w:val="right"/>
            </w:pPr>
            <w:r>
              <w:t>$332,688</w:t>
            </w:r>
          </w:p>
        </w:tc>
      </w:tr>
      <w:tr w:rsidTr="00000FB7">
        <w:tblPrEx>
          <w:tblW w:w="2876" w:type="pct"/>
          <w:jc w:val="center"/>
          <w:tblLook w:val="04A0"/>
        </w:tblPrEx>
        <w:trPr>
          <w:trHeight w:hRule="exact" w:val="284"/>
          <w:jc w:val="center"/>
        </w:trPr>
        <w:tc>
          <w:tcPr>
            <w:tcW w:w="3575" w:type="pct"/>
            <w:tcBorders>
              <w:bottom w:val="single" w:sz="4" w:space="0" w:color="FFFFFF" w:themeColor="background1"/>
            </w:tcBorders>
            <w:shd w:val="clear" w:color="auto" w:fill="D9D9D9" w:themeFill="background1" w:themeFillShade="D9"/>
            <w:noWrap/>
            <w:vAlign w:val="center"/>
          </w:tcPr>
          <w:p w:rsidR="00681E32" w:rsidRPr="007A1EF3" w:rsidP="00000FB7">
            <w:pPr>
              <w:spacing w:before="40" w:after="40" w:line="240" w:lineRule="auto"/>
              <w:rPr>
                <w:rFonts w:cs="Times New Roman"/>
                <w:b w:val="0"/>
                <w:szCs w:val="22"/>
              </w:rPr>
            </w:pPr>
            <w:r>
              <w:rPr>
                <w:rFonts w:cs="Times New Roman"/>
                <w:b w:val="0"/>
                <w:szCs w:val="22"/>
              </w:rPr>
              <w:t>Capital Grants</w:t>
            </w:r>
          </w:p>
        </w:tc>
        <w:tc>
          <w:tcPr>
            <w:tcW w:w="1425" w:type="pct"/>
            <w:tcBorders>
              <w:bottom w:val="single" w:sz="4" w:space="0" w:color="FFFFFF" w:themeColor="background1"/>
            </w:tcBorders>
            <w:shd w:val="clear" w:color="auto" w:fill="D9D9D9" w:themeFill="background1" w:themeFillShade="D9"/>
            <w:noWrap/>
            <w:vAlign w:val="center"/>
          </w:tcPr>
          <w:p w:rsidR="00681E32" w:rsidP="00000FB7">
            <w:pPr>
              <w:jc w:val="right"/>
            </w:pPr>
            <w:r>
              <w:t>$0</w:t>
            </w:r>
          </w:p>
        </w:tc>
      </w:tr>
      <w:tr w:rsidTr="00000FB7">
        <w:tblPrEx>
          <w:tblW w:w="2876" w:type="pct"/>
          <w:jc w:val="center"/>
          <w:tblLook w:val="04A0"/>
        </w:tblPrEx>
        <w:trPr>
          <w:trHeight w:hRule="exact" w:val="284"/>
          <w:jc w:val="center"/>
        </w:trPr>
        <w:tc>
          <w:tcPr>
            <w:tcW w:w="3575" w:type="pct"/>
            <w:tcBorders>
              <w:top w:val="single" w:sz="4" w:space="0" w:color="FFFFFF" w:themeColor="background1"/>
              <w:right w:val="single" w:sz="4" w:space="0" w:color="FFFFFF" w:themeColor="background1"/>
            </w:tcBorders>
            <w:shd w:val="clear" w:color="auto" w:fill="A6A6A6" w:themeFill="background1" w:themeFillShade="A6"/>
            <w:noWrap/>
            <w:vAlign w:val="center"/>
            <w:hideMark/>
          </w:tcPr>
          <w:p w:rsidR="00681E32" w:rsidP="00000FB7">
            <w:pPr>
              <w:spacing w:before="40" w:after="40" w:line="240" w:lineRule="auto"/>
              <w:rPr>
                <w:rFonts w:cs="Times New Roman"/>
                <w:szCs w:val="22"/>
              </w:rPr>
            </w:pPr>
            <w:r>
              <w:rPr>
                <w:rFonts w:cs="Times New Roman"/>
                <w:szCs w:val="22"/>
              </w:rPr>
              <w:t>Total Operating Revenue</w:t>
            </w:r>
          </w:p>
        </w:tc>
        <w:tc>
          <w:tcPr>
            <w:tcW w:w="1425" w:type="pct"/>
            <w:tcBorders>
              <w:top w:val="single" w:sz="4" w:space="0" w:color="FFFFFF" w:themeColor="background1"/>
              <w:left w:val="single" w:sz="4" w:space="0" w:color="FFFFFF" w:themeColor="background1"/>
            </w:tcBorders>
            <w:shd w:val="clear" w:color="auto" w:fill="FFC000"/>
            <w:noWrap/>
            <w:vAlign w:val="center"/>
          </w:tcPr>
          <w:p w:rsidR="00681E32" w:rsidRPr="00243D95" w:rsidP="00000FB7">
            <w:pPr>
              <w:jc w:val="right"/>
              <w:rPr>
                <w:b/>
                <w:bCs/>
              </w:rPr>
            </w:pPr>
            <w:r>
              <w:rPr>
                <w:b/>
                <w:bCs/>
              </w:rPr>
              <w:t>$22,998,044</w:t>
            </w:r>
          </w:p>
        </w:tc>
      </w:tr>
    </w:tbl>
    <w:p w:rsidR="00681E32" w:rsidP="00681E32">
      <w:pPr>
        <w:pStyle w:val="ESBodyText0"/>
      </w:pPr>
      <w:bookmarkEnd w:id="1"/>
    </w:p>
    <w:tbl>
      <w:tblPr>
        <w:tblStyle w:val="GridTable2-Accent612"/>
        <w:tblCaption w:val="FInance - Equity table"/>
        <w:tblW w:w="2876" w:type="pct"/>
        <w:jc w:val="center"/>
        <w:tblLook w:val="04A0"/>
      </w:tblPr>
      <w:tblGrid>
        <w:gridCol w:w="4428"/>
        <w:gridCol w:w="1765"/>
      </w:tblGrid>
      <w:tr w:rsidTr="00000FB7">
        <w:tblPrEx>
          <w:tblW w:w="2876" w:type="pct"/>
          <w:jc w:val="center"/>
          <w:tblLook w:val="04A0"/>
        </w:tblPrEx>
        <w:trPr>
          <w:trHeight w:hRule="exact" w:val="284"/>
          <w:tblHeader/>
          <w:jc w:val="center"/>
        </w:trPr>
        <w:tc>
          <w:tcPr>
            <w:tcW w:w="3228" w:type="pct"/>
            <w:tcBorders>
              <w:bottom w:val="single" w:sz="8" w:space="0" w:color="FFFFFF" w:themeColor="background1"/>
              <w:right w:val="single" w:sz="8" w:space="0" w:color="FFFFFF" w:themeColor="background1"/>
            </w:tcBorders>
            <w:shd w:val="clear" w:color="auto" w:fill="A6A6A6" w:themeFill="background1" w:themeFillShade="A6"/>
            <w:noWrap/>
            <w:vAlign w:val="center"/>
          </w:tcPr>
          <w:p w:rsidR="008265A1" w:rsidRPr="00243D95" w:rsidP="00000FB7">
            <w:pPr>
              <w:spacing w:before="40" w:after="40" w:line="240" w:lineRule="auto"/>
              <w:rPr>
                <w:rFonts w:cs="Times New Roman"/>
                <w:bCs w:val="0"/>
                <w:szCs w:val="22"/>
                <w:vertAlign w:val="superscript"/>
              </w:rPr>
            </w:pPr>
            <w:r w:rsidRPr="00243D95">
              <w:rPr>
                <w:rFonts w:cs="Times New Roman"/>
                <w:bCs w:val="0"/>
                <w:szCs w:val="22"/>
              </w:rPr>
              <w:t xml:space="preserve">Equity </w:t>
            </w:r>
            <w:r w:rsidRPr="00243D95">
              <w:rPr>
                <w:rFonts w:cs="Times New Roman"/>
                <w:bCs w:val="0"/>
                <w:szCs w:val="22"/>
                <w:vertAlign w:val="superscript"/>
              </w:rPr>
              <w:t>1</w:t>
            </w:r>
          </w:p>
        </w:tc>
        <w:tc>
          <w:tcPr>
            <w:tcW w:w="1772" w:type="pct"/>
            <w:tcBorders>
              <w:left w:val="single" w:sz="8" w:space="0" w:color="FFFFFF" w:themeColor="background1"/>
              <w:bottom w:val="single" w:sz="8" w:space="0" w:color="FFFFFF" w:themeColor="background1"/>
            </w:tcBorders>
            <w:shd w:val="clear" w:color="auto" w:fill="FFC000"/>
            <w:noWrap/>
            <w:vAlign w:val="center"/>
          </w:tcPr>
          <w:p w:rsidR="008265A1" w:rsidRPr="00243D95" w:rsidP="00000FB7">
            <w:pPr>
              <w:spacing w:before="40" w:after="40" w:line="240" w:lineRule="auto"/>
              <w:jc w:val="right"/>
              <w:rPr>
                <w:rFonts w:cs="Times New Roman"/>
                <w:bCs w:val="0"/>
                <w:szCs w:val="22"/>
              </w:rPr>
            </w:pPr>
            <w:r w:rsidRPr="00243D95">
              <w:rPr>
                <w:rFonts w:cs="Times New Roman"/>
                <w:bCs w:val="0"/>
                <w:szCs w:val="22"/>
              </w:rPr>
              <w:t>Actual</w:t>
            </w:r>
          </w:p>
        </w:tc>
      </w:tr>
      <w:tr w:rsidTr="00000FB7">
        <w:tblPrEx>
          <w:tblW w:w="2876" w:type="pct"/>
          <w:jc w:val="center"/>
          <w:tblLook w:val="04A0"/>
        </w:tblPrEx>
        <w:trPr>
          <w:trHeight w:hRule="exact" w:val="284"/>
          <w:jc w:val="center"/>
        </w:trPr>
        <w:tc>
          <w:tcPr>
            <w:tcW w:w="3228" w:type="pct"/>
            <w:tcBorders>
              <w:top w:val="single" w:sz="8" w:space="0" w:color="FFFFFF" w:themeColor="background1"/>
              <w:bottom w:val="nil"/>
              <w:right w:val="nil"/>
            </w:tcBorders>
            <w:shd w:val="clear" w:color="auto" w:fill="D9D9D9" w:themeFill="background1" w:themeFillShade="D9"/>
            <w:noWrap/>
            <w:vAlign w:val="center"/>
          </w:tcPr>
          <w:p w:rsidR="008265A1" w:rsidP="00000FB7">
            <w:pPr>
              <w:spacing w:before="40" w:after="40" w:line="240" w:lineRule="auto"/>
              <w:rPr>
                <w:rFonts w:cs="Times New Roman"/>
                <w:b w:val="0"/>
                <w:szCs w:val="22"/>
              </w:rPr>
            </w:pPr>
            <w:r>
              <w:rPr>
                <w:rFonts w:cs="Times New Roman"/>
                <w:b w:val="0"/>
                <w:szCs w:val="22"/>
              </w:rPr>
              <w:t>Equity (Social Disadvantage)</w:t>
            </w:r>
          </w:p>
        </w:tc>
        <w:tc>
          <w:tcPr>
            <w:tcW w:w="1772" w:type="pct"/>
            <w:tcBorders>
              <w:top w:val="single" w:sz="8" w:space="0" w:color="FFFFFF" w:themeColor="background1"/>
              <w:left w:val="nil"/>
              <w:bottom w:val="nil"/>
            </w:tcBorders>
            <w:shd w:val="clear" w:color="auto" w:fill="D9D9D9" w:themeFill="background1" w:themeFillShade="D9"/>
            <w:noWrap/>
            <w:vAlign w:val="center"/>
          </w:tcPr>
          <w:p w:rsidR="008265A1" w:rsidP="00000FB7">
            <w:pPr>
              <w:jc w:val="right"/>
            </w:pPr>
            <w:r>
              <w:t>$2,292,959</w:t>
            </w:r>
          </w:p>
        </w:tc>
      </w:tr>
      <w:tr w:rsidTr="00000FB7">
        <w:tblPrEx>
          <w:tblW w:w="2876" w:type="pct"/>
          <w:jc w:val="center"/>
          <w:tblLook w:val="04A0"/>
        </w:tblPrEx>
        <w:trPr>
          <w:trHeight w:hRule="exact" w:val="284"/>
          <w:jc w:val="center"/>
        </w:trPr>
        <w:tc>
          <w:tcPr>
            <w:tcW w:w="3228" w:type="pct"/>
            <w:tcBorders>
              <w:top w:val="nil"/>
              <w:bottom w:val="nil"/>
              <w:right w:val="nil"/>
            </w:tcBorders>
            <w:shd w:val="clear" w:color="auto" w:fill="F2F2F2" w:themeFill="background1" w:themeFillShade="F2"/>
            <w:noWrap/>
            <w:vAlign w:val="center"/>
          </w:tcPr>
          <w:p w:rsidR="008265A1" w:rsidP="00000FB7">
            <w:pPr>
              <w:spacing w:before="40" w:after="40" w:line="240" w:lineRule="auto"/>
              <w:rPr>
                <w:rFonts w:cs="Times New Roman"/>
                <w:b w:val="0"/>
                <w:szCs w:val="22"/>
              </w:rPr>
            </w:pPr>
            <w:r>
              <w:rPr>
                <w:rFonts w:cs="Times New Roman"/>
                <w:b w:val="0"/>
                <w:szCs w:val="22"/>
              </w:rPr>
              <w:t>Equity (Catch Up)</w:t>
            </w:r>
          </w:p>
        </w:tc>
        <w:tc>
          <w:tcPr>
            <w:tcW w:w="1772" w:type="pct"/>
            <w:tcBorders>
              <w:top w:val="nil"/>
              <w:left w:val="nil"/>
              <w:bottom w:val="nil"/>
            </w:tcBorders>
            <w:shd w:val="clear" w:color="auto" w:fill="F2F2F2" w:themeFill="background1" w:themeFillShade="F2"/>
            <w:noWrap/>
            <w:vAlign w:val="center"/>
          </w:tcPr>
          <w:p w:rsidR="008265A1" w:rsidP="00000FB7">
            <w:pPr>
              <w:jc w:val="right"/>
            </w:pPr>
            <w:r>
              <w:t>$111,316</w:t>
            </w:r>
          </w:p>
        </w:tc>
      </w:tr>
      <w:tr w:rsidTr="00000FB7">
        <w:tblPrEx>
          <w:tblW w:w="2876" w:type="pct"/>
          <w:jc w:val="center"/>
          <w:tblLook w:val="04A0"/>
        </w:tblPrEx>
        <w:trPr>
          <w:trHeight w:hRule="exact" w:val="284"/>
          <w:jc w:val="center"/>
        </w:trPr>
        <w:tc>
          <w:tcPr>
            <w:tcW w:w="3228" w:type="pct"/>
            <w:tcBorders>
              <w:top w:val="nil"/>
              <w:bottom w:val="nil"/>
              <w:right w:val="nil"/>
            </w:tcBorders>
            <w:shd w:val="clear" w:color="auto" w:fill="D9D9D9" w:themeFill="background1" w:themeFillShade="D9"/>
            <w:noWrap/>
            <w:vAlign w:val="center"/>
          </w:tcPr>
          <w:p w:rsidR="008265A1" w:rsidP="00000FB7">
            <w:pPr>
              <w:spacing w:before="40" w:after="40" w:line="240" w:lineRule="auto"/>
              <w:rPr>
                <w:rFonts w:cs="Times New Roman"/>
                <w:b w:val="0"/>
                <w:szCs w:val="22"/>
              </w:rPr>
            </w:pPr>
            <w:r>
              <w:rPr>
                <w:rFonts w:cs="Times New Roman"/>
                <w:b w:val="0"/>
                <w:szCs w:val="22"/>
              </w:rPr>
              <w:t>Transition Funding</w:t>
            </w:r>
          </w:p>
        </w:tc>
        <w:tc>
          <w:tcPr>
            <w:tcW w:w="1772" w:type="pct"/>
            <w:tcBorders>
              <w:top w:val="nil"/>
              <w:left w:val="nil"/>
              <w:bottom w:val="nil"/>
            </w:tcBorders>
            <w:shd w:val="clear" w:color="auto" w:fill="D9D9D9" w:themeFill="background1" w:themeFillShade="D9"/>
            <w:noWrap/>
            <w:vAlign w:val="center"/>
          </w:tcPr>
          <w:p w:rsidR="008265A1" w:rsidP="00000FB7">
            <w:pPr>
              <w:jc w:val="right"/>
            </w:pPr>
            <w:r>
              <w:t>$0</w:t>
            </w:r>
          </w:p>
        </w:tc>
      </w:tr>
      <w:tr w:rsidTr="00000FB7">
        <w:tblPrEx>
          <w:tblW w:w="2876" w:type="pct"/>
          <w:jc w:val="center"/>
          <w:tblLook w:val="04A0"/>
        </w:tblPrEx>
        <w:trPr>
          <w:trHeight w:hRule="exact" w:val="284"/>
          <w:jc w:val="center"/>
        </w:trPr>
        <w:tc>
          <w:tcPr>
            <w:tcW w:w="3228" w:type="pct"/>
            <w:tcBorders>
              <w:top w:val="nil"/>
              <w:bottom w:val="single" w:sz="8" w:space="0" w:color="FFFFFF" w:themeColor="background1"/>
              <w:right w:val="nil"/>
            </w:tcBorders>
            <w:shd w:val="clear" w:color="auto" w:fill="F2F2F2" w:themeFill="background1" w:themeFillShade="F2"/>
            <w:noWrap/>
            <w:vAlign w:val="center"/>
          </w:tcPr>
          <w:p w:rsidR="008265A1" w:rsidP="00000FB7">
            <w:pPr>
              <w:spacing w:before="40" w:after="40" w:line="240" w:lineRule="auto"/>
              <w:rPr>
                <w:rFonts w:cs="Times New Roman"/>
                <w:b w:val="0"/>
                <w:szCs w:val="22"/>
              </w:rPr>
            </w:pPr>
            <w:r>
              <w:rPr>
                <w:rFonts w:cs="Times New Roman"/>
                <w:b w:val="0"/>
                <w:szCs w:val="22"/>
              </w:rPr>
              <w:t>Equity (Social Disadvantage – Extraordinary Growth)</w:t>
            </w:r>
          </w:p>
          <w:p w:rsidR="008265A1" w:rsidP="00000FB7">
            <w:pPr>
              <w:spacing w:before="40" w:after="40" w:line="240" w:lineRule="auto"/>
              <w:rPr>
                <w:rFonts w:cs="Times New Roman"/>
                <w:color w:val="FFFFFF"/>
                <w:szCs w:val="22"/>
              </w:rPr>
            </w:pPr>
          </w:p>
        </w:tc>
        <w:tc>
          <w:tcPr>
            <w:tcW w:w="1772" w:type="pct"/>
            <w:tcBorders>
              <w:top w:val="nil"/>
              <w:left w:val="nil"/>
              <w:bottom w:val="single" w:sz="8" w:space="0" w:color="FFFFFF" w:themeColor="background1"/>
            </w:tcBorders>
            <w:shd w:val="clear" w:color="auto" w:fill="F2F2F2" w:themeFill="background1" w:themeFillShade="F2"/>
            <w:noWrap/>
            <w:vAlign w:val="center"/>
          </w:tcPr>
          <w:p w:rsidR="008265A1" w:rsidP="00000FB7">
            <w:pPr>
              <w:jc w:val="right"/>
            </w:pPr>
            <w:r>
              <w:t>$0</w:t>
            </w:r>
          </w:p>
        </w:tc>
      </w:tr>
      <w:tr w:rsidTr="00000FB7">
        <w:tblPrEx>
          <w:tblW w:w="2876" w:type="pct"/>
          <w:jc w:val="center"/>
          <w:tblLook w:val="04A0"/>
        </w:tblPrEx>
        <w:trPr>
          <w:trHeight w:hRule="exact" w:val="284"/>
          <w:jc w:val="center"/>
        </w:trPr>
        <w:tc>
          <w:tcPr>
            <w:tcW w:w="3228"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tcPr>
          <w:p w:rsidR="008265A1" w:rsidRPr="00243D95" w:rsidP="00000FB7">
            <w:pPr>
              <w:spacing w:before="40" w:after="40" w:line="240" w:lineRule="auto"/>
              <w:rPr>
                <w:rFonts w:cs="Times New Roman"/>
                <w:szCs w:val="22"/>
              </w:rPr>
            </w:pPr>
            <w:r w:rsidRPr="00243D95">
              <w:rPr>
                <w:rFonts w:cs="Times New Roman"/>
                <w:szCs w:val="22"/>
              </w:rPr>
              <w:t>Equity Total</w:t>
            </w:r>
          </w:p>
        </w:tc>
        <w:tc>
          <w:tcPr>
            <w:tcW w:w="1772" w:type="pct"/>
            <w:tcBorders>
              <w:top w:val="single" w:sz="8" w:space="0" w:color="FFFFFF" w:themeColor="background1"/>
              <w:left w:val="single" w:sz="8" w:space="0" w:color="FFFFFF" w:themeColor="background1"/>
              <w:bottom w:val="nil"/>
            </w:tcBorders>
            <w:shd w:val="clear" w:color="auto" w:fill="FFC000"/>
            <w:noWrap/>
            <w:vAlign w:val="center"/>
          </w:tcPr>
          <w:p w:rsidR="008265A1" w:rsidRPr="00243D95" w:rsidP="00000FB7">
            <w:pPr>
              <w:jc w:val="right"/>
              <w:rPr>
                <w:b/>
                <w:bCs/>
              </w:rPr>
            </w:pPr>
            <w:r>
              <w:rPr>
                <w:b/>
                <w:bCs/>
              </w:rPr>
              <w:t>$2,404,276</w:t>
            </w:r>
          </w:p>
        </w:tc>
      </w:tr>
    </w:tbl>
    <w:p w:rsidR="008265A1" w:rsidP="00681E32">
      <w:pPr>
        <w:pStyle w:val="ESBodyText0"/>
      </w:pPr>
    </w:p>
    <w:tbl>
      <w:tblPr>
        <w:tblStyle w:val="GridTable2-Accent612"/>
        <w:tblCaption w:val="Finance - Expenditure table"/>
        <w:tblW w:w="2876" w:type="pct"/>
        <w:jc w:val="center"/>
        <w:tblLook w:val="04A0"/>
      </w:tblPr>
      <w:tblGrid>
        <w:gridCol w:w="4386"/>
        <w:gridCol w:w="1795"/>
      </w:tblGrid>
      <w:tr w:rsidTr="00000FB7">
        <w:tblPrEx>
          <w:tblW w:w="2876" w:type="pct"/>
          <w:jc w:val="center"/>
          <w:tblLook w:val="04A0"/>
        </w:tblPrEx>
        <w:trPr>
          <w:trHeight w:hRule="exact" w:val="284"/>
          <w:tblHeader/>
          <w:jc w:val="center"/>
        </w:trPr>
        <w:tc>
          <w:tcPr>
            <w:tcW w:w="3548" w:type="pct"/>
            <w:tcBorders>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vAlign w:val="center"/>
            <w:hideMark/>
          </w:tcPr>
          <w:p w:rsidR="00004FD6" w:rsidRPr="00243D95" w:rsidP="00000FB7">
            <w:pPr>
              <w:spacing w:before="40" w:after="40" w:line="240" w:lineRule="auto"/>
              <w:rPr>
                <w:rFonts w:cs="Times New Roman"/>
                <w:bCs w:val="0"/>
                <w:szCs w:val="22"/>
              </w:rPr>
            </w:pPr>
            <w:r w:rsidRPr="00243D95">
              <w:rPr>
                <w:rFonts w:cs="Times New Roman"/>
                <w:bCs w:val="0"/>
                <w:szCs w:val="22"/>
              </w:rPr>
              <w:t>Expenditure</w:t>
            </w:r>
          </w:p>
        </w:tc>
        <w:tc>
          <w:tcPr>
            <w:tcW w:w="1452" w:type="pct"/>
            <w:tcBorders>
              <w:left w:val="single" w:sz="8" w:space="0" w:color="FFFFFF" w:themeColor="background1"/>
              <w:bottom w:val="single" w:sz="8" w:space="0" w:color="FFFFFF" w:themeColor="background1"/>
              <w:right w:val="single" w:sz="8" w:space="0" w:color="FFFFFF" w:themeColor="background1"/>
            </w:tcBorders>
            <w:shd w:val="clear" w:color="auto" w:fill="FFC000"/>
            <w:vAlign w:val="center"/>
            <w:hideMark/>
          </w:tcPr>
          <w:p w:rsidR="00004FD6" w:rsidRPr="00243D95" w:rsidP="00000FB7">
            <w:pPr>
              <w:spacing w:before="40" w:after="40" w:line="240" w:lineRule="auto"/>
              <w:jc w:val="right"/>
              <w:rPr>
                <w:rFonts w:cs="Times New Roman"/>
                <w:bCs w:val="0"/>
                <w:szCs w:val="22"/>
              </w:rPr>
            </w:pPr>
            <w:r w:rsidRPr="00243D95">
              <w:rPr>
                <w:rFonts w:cs="Times New Roman"/>
                <w:bCs w:val="0"/>
                <w:szCs w:val="22"/>
              </w:rPr>
              <w:t>Actual</w:t>
            </w:r>
          </w:p>
        </w:tc>
      </w:tr>
      <w:tr w:rsidTr="00000FB7">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nil"/>
              <w:right w:val="nil"/>
            </w:tcBorders>
            <w:shd w:val="clear" w:color="auto" w:fill="D9D9D9" w:themeFill="background1" w:themeFillShade="D9"/>
            <w:noWrap/>
            <w:vAlign w:val="center"/>
            <w:hideMark/>
          </w:tcPr>
          <w:p w:rsidR="00004FD6" w:rsidP="00000FB7">
            <w:pPr>
              <w:spacing w:before="40" w:after="40" w:line="240" w:lineRule="auto"/>
              <w:rPr>
                <w:rFonts w:cs="Times New Roman"/>
                <w:b w:val="0"/>
                <w:szCs w:val="22"/>
                <w:vertAlign w:val="superscript"/>
              </w:rPr>
            </w:pPr>
            <w:r>
              <w:rPr>
                <w:rFonts w:cs="Times New Roman"/>
                <w:b w:val="0"/>
                <w:szCs w:val="22"/>
              </w:rPr>
              <w:t xml:space="preserve">Student Resource Package </w:t>
            </w:r>
            <w:r>
              <w:rPr>
                <w:rFonts w:cs="Times New Roman"/>
                <w:b w:val="0"/>
                <w:szCs w:val="22"/>
                <w:vertAlign w:val="superscript"/>
              </w:rPr>
              <w:t>2</w:t>
            </w:r>
          </w:p>
        </w:tc>
        <w:tc>
          <w:tcPr>
            <w:tcW w:w="1452" w:type="pct"/>
            <w:tcBorders>
              <w:top w:val="single" w:sz="8" w:space="0" w:color="FFFFFF" w:themeColor="background1"/>
              <w:left w:val="nil"/>
              <w:bottom w:val="nil"/>
              <w:right w:val="single" w:sz="8" w:space="0" w:color="FFFFFF" w:themeColor="background1"/>
            </w:tcBorders>
            <w:shd w:val="clear" w:color="auto" w:fill="D9D9D9" w:themeFill="background1" w:themeFillShade="D9"/>
            <w:noWrap/>
            <w:vAlign w:val="center"/>
          </w:tcPr>
          <w:p w:rsidR="00004FD6" w:rsidP="00000FB7">
            <w:pPr>
              <w:jc w:val="right"/>
            </w:pPr>
            <w:r>
              <w:t>$15,413,085</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004FD6" w:rsidP="00000FB7">
            <w:pPr>
              <w:spacing w:before="40" w:after="40" w:line="240" w:lineRule="auto"/>
              <w:rPr>
                <w:rFonts w:cs="Times New Roman"/>
                <w:szCs w:val="22"/>
              </w:rPr>
            </w:pPr>
            <w:r>
              <w:rPr>
                <w:rFonts w:cs="Times New Roman"/>
                <w:b w:val="0"/>
                <w:szCs w:val="22"/>
              </w:rPr>
              <w:t>Adjustments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004FD6" w:rsidP="00000FB7">
            <w:pPr>
              <w:jc w:val="right"/>
            </w:pPr>
            <w:r>
              <w:t>$0</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004FD6" w:rsidP="00000FB7">
            <w:pPr>
              <w:spacing w:before="40" w:after="40" w:line="240" w:lineRule="auto"/>
              <w:rPr>
                <w:rFonts w:cs="Times New Roman"/>
                <w:b w:val="0"/>
                <w:szCs w:val="22"/>
              </w:rPr>
            </w:pPr>
            <w:r>
              <w:rPr>
                <w:rFonts w:cs="Times New Roman"/>
                <w:b w:val="0"/>
                <w:szCs w:val="22"/>
              </w:rPr>
              <w:t>Books &amp; Publications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004FD6" w:rsidP="00000FB7">
            <w:pPr>
              <w:jc w:val="right"/>
            </w:pPr>
            <w:r>
              <w:t>$3,383</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004FD6" w:rsidP="00000FB7">
            <w:pPr>
              <w:spacing w:before="40" w:after="40" w:line="240" w:lineRule="auto"/>
              <w:rPr>
                <w:rFonts w:cs="Times New Roman"/>
                <w:b w:val="0"/>
                <w:bCs w:val="0"/>
                <w:szCs w:val="22"/>
              </w:rPr>
            </w:pPr>
            <w:r w:rsidRPr="00140216">
              <w:rPr>
                <w:rFonts w:cs="Times New Roman"/>
                <w:b w:val="0"/>
                <w:szCs w:val="22"/>
              </w:rPr>
              <w:t>Camps/Excursions/Activities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004FD6" w:rsidP="00000FB7">
            <w:pPr>
              <w:jc w:val="right"/>
            </w:pPr>
            <w:r>
              <w:t>$142,445</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004FD6" w:rsidP="00000FB7">
            <w:pPr>
              <w:spacing w:before="40" w:after="40" w:line="240" w:lineRule="auto"/>
              <w:rPr>
                <w:rFonts w:cs="Times New Roman"/>
                <w:b w:val="0"/>
                <w:bCs w:val="0"/>
                <w:szCs w:val="22"/>
              </w:rPr>
            </w:pPr>
            <w:r>
              <w:rPr>
                <w:rFonts w:cs="Times New Roman"/>
                <w:b w:val="0"/>
                <w:szCs w:val="22"/>
              </w:rPr>
              <w:t>Communication Costs</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004FD6" w:rsidP="00000FB7">
            <w:pPr>
              <w:jc w:val="right"/>
            </w:pPr>
            <w:r>
              <w:t>$18,800</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004FD6" w:rsidP="00000FB7">
            <w:pPr>
              <w:spacing w:before="40" w:after="40" w:line="240" w:lineRule="auto"/>
              <w:rPr>
                <w:rFonts w:cs="Times New Roman"/>
                <w:b w:val="0"/>
                <w:szCs w:val="22"/>
              </w:rPr>
            </w:pPr>
            <w:r>
              <w:rPr>
                <w:rFonts w:cs="Times New Roman"/>
                <w:b w:val="0"/>
                <w:bCs w:val="0"/>
                <w:szCs w:val="22"/>
              </w:rPr>
              <w:t>Consumables</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004FD6" w:rsidP="00000FB7">
            <w:pPr>
              <w:jc w:val="right"/>
            </w:pPr>
            <w:r>
              <w:t>$443,985</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004FD6" w:rsidP="00000FB7">
            <w:pPr>
              <w:spacing w:before="40" w:after="40" w:line="240" w:lineRule="auto"/>
              <w:rPr>
                <w:rFonts w:cs="Times New Roman"/>
                <w:b w:val="0"/>
                <w:bCs w:val="0"/>
                <w:szCs w:val="22"/>
                <w:vertAlign w:val="superscript"/>
              </w:rPr>
            </w:pPr>
            <w:r>
              <w:rPr>
                <w:rFonts w:cs="Times New Roman"/>
                <w:b w:val="0"/>
                <w:bCs w:val="0"/>
                <w:szCs w:val="22"/>
              </w:rPr>
              <w:t xml:space="preserve">Miscellaneous Expense </w:t>
            </w:r>
            <w:r>
              <w:rPr>
                <w:rFonts w:cs="Times New Roman"/>
                <w:b w:val="0"/>
                <w:bCs w:val="0"/>
                <w:szCs w:val="22"/>
                <w:vertAlign w:val="superscript"/>
              </w:rPr>
              <w:t>3</w:t>
            </w:r>
          </w:p>
        </w:tc>
        <w:tc>
          <w:tcPr>
            <w:tcW w:w="1452" w:type="pct"/>
            <w:tcBorders>
              <w:top w:val="nil"/>
              <w:left w:val="nil"/>
              <w:bottom w:val="nil"/>
              <w:right w:val="single" w:sz="8" w:space="0" w:color="FFFFFF" w:themeColor="background1"/>
            </w:tcBorders>
            <w:shd w:val="clear" w:color="auto" w:fill="D9D9D9" w:themeFill="background1" w:themeFillShade="D9"/>
            <w:noWrap/>
            <w:vAlign w:val="center"/>
          </w:tcPr>
          <w:p w:rsidR="00004FD6" w:rsidP="00000FB7">
            <w:pPr>
              <w:jc w:val="right"/>
            </w:pPr>
            <w:r>
              <w:t>$185,942</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004FD6" w:rsidP="00000FB7">
            <w:pPr>
              <w:spacing w:before="40" w:after="40" w:line="240" w:lineRule="auto"/>
              <w:rPr>
                <w:rFonts w:cs="Times New Roman"/>
                <w:b w:val="0"/>
                <w:bCs w:val="0"/>
                <w:szCs w:val="22"/>
              </w:rPr>
            </w:pPr>
            <w:r>
              <w:rPr>
                <w:rFonts w:cs="Times New Roman"/>
                <w:b w:val="0"/>
                <w:szCs w:val="22"/>
              </w:rPr>
              <w:t>Professional Development</w:t>
            </w:r>
          </w:p>
        </w:tc>
        <w:tc>
          <w:tcPr>
            <w:tcW w:w="1452" w:type="pct"/>
            <w:tcBorders>
              <w:top w:val="nil"/>
              <w:left w:val="nil"/>
              <w:bottom w:val="nil"/>
              <w:right w:val="single" w:sz="8" w:space="0" w:color="FFFFFF" w:themeColor="background1"/>
            </w:tcBorders>
            <w:shd w:val="clear" w:color="auto" w:fill="F2F2F2" w:themeFill="background1" w:themeFillShade="F2"/>
            <w:noWrap/>
            <w:vAlign w:val="center"/>
          </w:tcPr>
          <w:p w:rsidR="00004FD6" w:rsidP="00000FB7">
            <w:pPr>
              <w:jc w:val="right"/>
            </w:pPr>
            <w:r>
              <w:t>$114,776</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004FD6" w:rsidP="00000FB7">
            <w:pPr>
              <w:spacing w:before="40" w:after="40" w:line="240" w:lineRule="auto"/>
              <w:rPr>
                <w:rFonts w:cs="Times New Roman"/>
                <w:b w:val="0"/>
                <w:szCs w:val="22"/>
              </w:rPr>
            </w:pPr>
            <w:r w:rsidRPr="00140216">
              <w:rPr>
                <w:rFonts w:cs="Times New Roman"/>
                <w:b w:val="0"/>
                <w:szCs w:val="22"/>
              </w:rPr>
              <w:t>Equipment/Maintenance/Hire</w:t>
            </w:r>
          </w:p>
        </w:tc>
        <w:tc>
          <w:tcPr>
            <w:tcW w:w="1452" w:type="pct"/>
            <w:tcBorders>
              <w:top w:val="nil"/>
              <w:left w:val="nil"/>
              <w:bottom w:val="nil"/>
              <w:right w:val="single" w:sz="8" w:space="0" w:color="FFFFFF" w:themeColor="background1"/>
            </w:tcBorders>
            <w:shd w:val="clear" w:color="auto" w:fill="D9D9D9" w:themeFill="background1" w:themeFillShade="D9"/>
            <w:noWrap/>
          </w:tcPr>
          <w:p w:rsidR="00004FD6" w:rsidP="00000FB7">
            <w:pPr>
              <w:jc w:val="right"/>
            </w:pPr>
            <w:r>
              <w:t>$311,979</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004FD6" w:rsidP="00000FB7">
            <w:pPr>
              <w:spacing w:before="40" w:after="40" w:line="240" w:lineRule="auto"/>
              <w:rPr>
                <w:rFonts w:cs="Times New Roman"/>
                <w:b w:val="0"/>
                <w:szCs w:val="22"/>
              </w:rPr>
            </w:pPr>
            <w:r>
              <w:rPr>
                <w:rFonts w:cs="Times New Roman"/>
                <w:b w:val="0"/>
                <w:szCs w:val="22"/>
              </w:rPr>
              <w:t>Property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004FD6" w:rsidP="00000FB7">
            <w:pPr>
              <w:jc w:val="right"/>
            </w:pPr>
            <w:r>
              <w:t>$489,472</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004FD6" w:rsidP="00000FB7">
            <w:pPr>
              <w:spacing w:before="40" w:after="40" w:line="240" w:lineRule="auto"/>
              <w:rPr>
                <w:rFonts w:cs="Times New Roman"/>
                <w:b w:val="0"/>
                <w:szCs w:val="22"/>
                <w:vertAlign w:val="superscript"/>
              </w:rPr>
            </w:pPr>
            <w:r>
              <w:rPr>
                <w:rFonts w:cs="Times New Roman"/>
                <w:b w:val="0"/>
                <w:szCs w:val="22"/>
              </w:rPr>
              <w:t xml:space="preserve">Salaries &amp; Allowances </w:t>
            </w:r>
            <w:r>
              <w:rPr>
                <w:rFonts w:cs="Times New Roman"/>
                <w:b w:val="0"/>
                <w:szCs w:val="22"/>
                <w:vertAlign w:val="superscript"/>
              </w:rPr>
              <w:t>4</w:t>
            </w:r>
          </w:p>
        </w:tc>
        <w:tc>
          <w:tcPr>
            <w:tcW w:w="1452" w:type="pct"/>
            <w:tcBorders>
              <w:top w:val="nil"/>
              <w:left w:val="nil"/>
              <w:bottom w:val="nil"/>
              <w:right w:val="single" w:sz="8" w:space="0" w:color="FFFFFF" w:themeColor="background1"/>
            </w:tcBorders>
            <w:shd w:val="clear" w:color="auto" w:fill="D9D9D9" w:themeFill="background1" w:themeFillShade="D9"/>
            <w:noWrap/>
          </w:tcPr>
          <w:p w:rsidR="00004FD6" w:rsidP="00000FB7">
            <w:pPr>
              <w:jc w:val="right"/>
            </w:pPr>
            <w:r>
              <w:t>$517,031</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004FD6" w:rsidP="00000FB7">
            <w:pPr>
              <w:spacing w:before="40" w:after="40" w:line="240" w:lineRule="auto"/>
              <w:rPr>
                <w:rFonts w:cs="Times New Roman"/>
                <w:szCs w:val="22"/>
              </w:rPr>
            </w:pPr>
            <w:r>
              <w:rPr>
                <w:rFonts w:cs="Times New Roman"/>
                <w:b w:val="0"/>
                <w:szCs w:val="22"/>
              </w:rPr>
              <w:t>Support Services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004FD6" w:rsidP="00000FB7">
            <w:pPr>
              <w:jc w:val="right"/>
            </w:pPr>
            <w:r>
              <w:t>$1,310,566</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004FD6" w:rsidP="00000FB7">
            <w:pPr>
              <w:spacing w:before="40" w:after="40" w:line="240" w:lineRule="auto"/>
              <w:rPr>
                <w:rFonts w:cs="Times New Roman"/>
                <w:b w:val="0"/>
                <w:szCs w:val="22"/>
              </w:rPr>
            </w:pPr>
            <w:r>
              <w:rPr>
                <w:rFonts w:cs="Times New Roman"/>
                <w:b w:val="0"/>
                <w:szCs w:val="22"/>
              </w:rPr>
              <w:t>Trading &amp; Fundraising</w:t>
            </w:r>
          </w:p>
        </w:tc>
        <w:tc>
          <w:tcPr>
            <w:tcW w:w="1452" w:type="pct"/>
            <w:tcBorders>
              <w:top w:val="nil"/>
              <w:left w:val="nil"/>
              <w:bottom w:val="nil"/>
              <w:right w:val="single" w:sz="8" w:space="0" w:color="FFFFFF" w:themeColor="background1"/>
            </w:tcBorders>
            <w:shd w:val="clear" w:color="auto" w:fill="D9D9D9" w:themeFill="background1" w:themeFillShade="D9"/>
            <w:noWrap/>
          </w:tcPr>
          <w:p w:rsidR="00004FD6" w:rsidP="00000FB7">
            <w:pPr>
              <w:jc w:val="right"/>
            </w:pPr>
            <w:r>
              <w:t>$99,641</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F2F2F2" w:themeFill="background1" w:themeFillShade="F2"/>
            <w:noWrap/>
            <w:vAlign w:val="center"/>
          </w:tcPr>
          <w:p w:rsidR="00004FD6" w:rsidP="00000FB7">
            <w:pPr>
              <w:spacing w:before="40" w:after="40" w:line="240" w:lineRule="auto"/>
              <w:rPr>
                <w:rFonts w:cs="Times New Roman"/>
                <w:b w:val="0"/>
                <w:szCs w:val="22"/>
              </w:rPr>
            </w:pPr>
            <w:r>
              <w:rPr>
                <w:rFonts w:cs="Times New Roman"/>
                <w:b w:val="0"/>
                <w:szCs w:val="22"/>
              </w:rPr>
              <w:t>Motor Vehicle Expenses</w:t>
            </w:r>
          </w:p>
        </w:tc>
        <w:tc>
          <w:tcPr>
            <w:tcW w:w="1452" w:type="pct"/>
            <w:tcBorders>
              <w:top w:val="nil"/>
              <w:left w:val="nil"/>
              <w:bottom w:val="nil"/>
              <w:right w:val="single" w:sz="8" w:space="0" w:color="FFFFFF" w:themeColor="background1"/>
            </w:tcBorders>
            <w:shd w:val="clear" w:color="auto" w:fill="F2F2F2" w:themeFill="background1" w:themeFillShade="F2"/>
            <w:noWrap/>
          </w:tcPr>
          <w:p w:rsidR="00004FD6" w:rsidP="00000FB7">
            <w:pPr>
              <w:jc w:val="right"/>
            </w:pPr>
            <w:r>
              <w:t>$1,667</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nil"/>
              <w:right w:val="nil"/>
            </w:tcBorders>
            <w:shd w:val="clear" w:color="auto" w:fill="D9D9D9" w:themeFill="background1" w:themeFillShade="D9"/>
            <w:noWrap/>
            <w:vAlign w:val="center"/>
          </w:tcPr>
          <w:p w:rsidR="00004FD6" w:rsidP="00000FB7">
            <w:pPr>
              <w:spacing w:before="40" w:after="40" w:line="240" w:lineRule="auto"/>
              <w:rPr>
                <w:rFonts w:cs="Times New Roman"/>
                <w:b w:val="0"/>
                <w:szCs w:val="22"/>
              </w:rPr>
            </w:pPr>
            <w:r>
              <w:rPr>
                <w:rFonts w:cs="Times New Roman"/>
                <w:b w:val="0"/>
                <w:szCs w:val="22"/>
              </w:rPr>
              <w:t>Travel &amp; Subsistence</w:t>
            </w:r>
          </w:p>
        </w:tc>
        <w:tc>
          <w:tcPr>
            <w:tcW w:w="1452" w:type="pct"/>
            <w:tcBorders>
              <w:top w:val="nil"/>
              <w:left w:val="nil"/>
              <w:bottom w:val="nil"/>
              <w:right w:val="single" w:sz="8" w:space="0" w:color="FFFFFF" w:themeColor="background1"/>
            </w:tcBorders>
            <w:shd w:val="clear" w:color="auto" w:fill="D9D9D9" w:themeFill="background1" w:themeFillShade="D9"/>
            <w:noWrap/>
          </w:tcPr>
          <w:p w:rsidR="00004FD6" w:rsidP="00000FB7">
            <w:pPr>
              <w:jc w:val="right"/>
            </w:pPr>
            <w:r>
              <w:t>$241</w:t>
            </w:r>
          </w:p>
        </w:tc>
      </w:tr>
      <w:tr w:rsidTr="00000FB7">
        <w:tblPrEx>
          <w:tblW w:w="2876" w:type="pct"/>
          <w:jc w:val="center"/>
          <w:tblLook w:val="04A0"/>
        </w:tblPrEx>
        <w:trPr>
          <w:trHeight w:hRule="exact" w:val="284"/>
          <w:jc w:val="center"/>
        </w:trPr>
        <w:tc>
          <w:tcPr>
            <w:tcW w:w="3548" w:type="pct"/>
            <w:tcBorders>
              <w:top w:val="nil"/>
              <w:left w:val="single" w:sz="8" w:space="0" w:color="FFFFFF" w:themeColor="background1"/>
              <w:bottom w:val="single" w:sz="8" w:space="0" w:color="FFFFFF" w:themeColor="background1"/>
              <w:right w:val="nil"/>
            </w:tcBorders>
            <w:shd w:val="clear" w:color="auto" w:fill="F2F2F2" w:themeFill="background1" w:themeFillShade="F2"/>
            <w:noWrap/>
            <w:vAlign w:val="center"/>
          </w:tcPr>
          <w:p w:rsidR="00004FD6" w:rsidP="00000FB7">
            <w:pPr>
              <w:spacing w:before="40" w:after="40" w:line="240" w:lineRule="auto"/>
              <w:rPr>
                <w:rFonts w:cs="Times New Roman"/>
                <w:b w:val="0"/>
                <w:szCs w:val="22"/>
              </w:rPr>
            </w:pPr>
            <w:r>
              <w:rPr>
                <w:rFonts w:cs="Times New Roman"/>
                <w:b w:val="0"/>
                <w:szCs w:val="22"/>
              </w:rPr>
              <w:t>Utilities</w:t>
            </w:r>
          </w:p>
        </w:tc>
        <w:tc>
          <w:tcPr>
            <w:tcW w:w="1452" w:type="pct"/>
            <w:tcBorders>
              <w:top w:val="nil"/>
              <w:left w:val="nil"/>
              <w:bottom w:val="single" w:sz="8" w:space="0" w:color="FFFFFF" w:themeColor="background1"/>
              <w:right w:val="single" w:sz="8" w:space="0" w:color="FFFFFF" w:themeColor="background1"/>
            </w:tcBorders>
            <w:shd w:val="clear" w:color="auto" w:fill="F2F2F2" w:themeFill="background1" w:themeFillShade="F2"/>
            <w:noWrap/>
          </w:tcPr>
          <w:p w:rsidR="00004FD6" w:rsidP="00000FB7">
            <w:pPr>
              <w:jc w:val="right"/>
            </w:pPr>
            <w:r>
              <w:t>$171,980</w:t>
            </w:r>
          </w:p>
        </w:tc>
      </w:tr>
      <w:tr w:rsidTr="00000FB7">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rsidR="00004FD6" w:rsidP="00000FB7">
            <w:pPr>
              <w:rPr>
                <w:rFonts w:cs="Times New Roman"/>
                <w:szCs w:val="22"/>
              </w:rPr>
            </w:pPr>
            <w:r>
              <w:rPr>
                <w:rFonts w:cs="Times New Roman"/>
                <w:szCs w:val="22"/>
              </w:rPr>
              <w:t>Total Operating Expenditure</w:t>
            </w:r>
          </w:p>
          <w:p w:rsidR="00004FD6" w:rsidP="00000FB7">
            <w:pPr>
              <w:spacing w:before="40" w:after="40" w:line="240" w:lineRule="auto"/>
              <w:rPr>
                <w:rFonts w:cs="Times New Roman"/>
                <w:szCs w:val="22"/>
              </w:rPr>
            </w:pP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FFC000"/>
            <w:noWrap/>
          </w:tcPr>
          <w:p w:rsidR="00004FD6" w:rsidRPr="0099239B" w:rsidP="00000FB7">
            <w:pPr>
              <w:jc w:val="right"/>
              <w:rPr>
                <w:b/>
                <w:bCs/>
              </w:rPr>
            </w:pPr>
            <w:r>
              <w:rPr>
                <w:b/>
                <w:bCs/>
              </w:rPr>
              <w:t>$19,224,994</w:t>
            </w:r>
          </w:p>
        </w:tc>
      </w:tr>
      <w:tr w:rsidTr="00000FB7">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tcPr>
          <w:p w:rsidR="00004FD6" w:rsidP="00000FB7">
            <w:pPr>
              <w:rPr>
                <w:rFonts w:cs="Times New Roman"/>
                <w:szCs w:val="22"/>
              </w:rPr>
            </w:pPr>
            <w:r>
              <w:rPr>
                <w:rFonts w:cs="Times New Roman"/>
                <w:szCs w:val="22"/>
              </w:rPr>
              <w:t>Net Operating Surplus/-Deficit</w:t>
            </w:r>
          </w:p>
        </w:tc>
        <w:tc>
          <w:tcPr>
            <w:tcW w:w="1452" w:type="pct"/>
            <w:tcBorders>
              <w:top w:val="single" w:sz="8" w:space="0" w:color="FFFFFF" w:themeColor="background1"/>
              <w:left w:val="single" w:sz="8" w:space="0" w:color="FFFFFF" w:themeColor="background1"/>
              <w:bottom w:val="single" w:sz="8" w:space="0" w:color="FFFFFF" w:themeColor="background1"/>
              <w:right w:val="nil"/>
            </w:tcBorders>
            <w:shd w:val="clear" w:color="auto" w:fill="FFC000"/>
            <w:noWrap/>
          </w:tcPr>
          <w:p w:rsidR="00004FD6" w:rsidRPr="0099239B" w:rsidP="00000FB7">
            <w:pPr>
              <w:jc w:val="right"/>
              <w:rPr>
                <w:b/>
                <w:bCs/>
              </w:rPr>
            </w:pPr>
            <w:r>
              <w:rPr>
                <w:b/>
                <w:bCs/>
              </w:rPr>
              <w:t>$3,773,051</w:t>
            </w:r>
          </w:p>
        </w:tc>
      </w:tr>
      <w:tr w:rsidTr="00000FB7">
        <w:tblPrEx>
          <w:tblW w:w="2876" w:type="pct"/>
          <w:jc w:val="center"/>
          <w:tblLook w:val="04A0"/>
        </w:tblPrEx>
        <w:trPr>
          <w:trHeight w:hRule="exact" w:val="284"/>
          <w:jc w:val="center"/>
        </w:trPr>
        <w:tc>
          <w:tcPr>
            <w:tcW w:w="3548" w:type="pct"/>
            <w:tcBorders>
              <w:top w:val="single" w:sz="8" w:space="0" w:color="FFFFFF" w:themeColor="background1"/>
              <w:left w:val="single" w:sz="8" w:space="0" w:color="FFFFFF" w:themeColor="background1"/>
              <w:bottom w:val="nil"/>
              <w:right w:val="single" w:sz="8" w:space="0" w:color="FFFFFF" w:themeColor="background1"/>
            </w:tcBorders>
            <w:shd w:val="clear" w:color="auto" w:fill="A6A6A6" w:themeFill="background1" w:themeFillShade="A6"/>
            <w:noWrap/>
            <w:vAlign w:val="center"/>
          </w:tcPr>
          <w:p w:rsidR="00004FD6" w:rsidP="00000FB7">
            <w:pPr>
              <w:rPr>
                <w:rFonts w:cs="Times New Roman"/>
                <w:szCs w:val="22"/>
              </w:rPr>
            </w:pPr>
            <w:r>
              <w:rPr>
                <w:rFonts w:cs="Times New Roman"/>
                <w:szCs w:val="22"/>
              </w:rPr>
              <w:t>Asset Acquisitions</w:t>
            </w:r>
          </w:p>
        </w:tc>
        <w:tc>
          <w:tcPr>
            <w:tcW w:w="1452" w:type="pct"/>
            <w:tcBorders>
              <w:top w:val="single" w:sz="8" w:space="0" w:color="FFFFFF" w:themeColor="background1"/>
              <w:left w:val="single" w:sz="8" w:space="0" w:color="FFFFFF" w:themeColor="background1"/>
              <w:bottom w:val="nil"/>
              <w:right w:val="nil"/>
            </w:tcBorders>
            <w:shd w:val="clear" w:color="auto" w:fill="FFC000"/>
            <w:noWrap/>
          </w:tcPr>
          <w:p w:rsidR="00004FD6" w:rsidRPr="0099239B" w:rsidP="00000FB7">
            <w:pPr>
              <w:jc w:val="right"/>
              <w:rPr>
                <w:b/>
                <w:bCs/>
              </w:rPr>
            </w:pPr>
            <w:r>
              <w:rPr>
                <w:b/>
                <w:bCs/>
              </w:rPr>
              <w:t>$177,097</w:t>
            </w:r>
          </w:p>
        </w:tc>
      </w:tr>
    </w:tbl>
    <w:p w:rsidR="00004FD6" w:rsidP="00681E32">
      <w:pPr>
        <w:pStyle w:val="ESBodyText0"/>
      </w:pPr>
    </w:p>
    <w:p w:rsidR="00597610" w:rsidP="00597610">
      <w:pPr>
        <w:pStyle w:val="ESBodyText0"/>
        <w:numPr>
          <w:ilvl w:val="0"/>
          <w:numId w:val="33"/>
        </w:numPr>
      </w:pPr>
      <w:r>
        <w:t>The equity funding reported above is a subset of the overall revenue reported by the school.</w:t>
      </w:r>
    </w:p>
    <w:p w:rsidR="00597610" w:rsidP="00597610">
      <w:pPr>
        <w:pStyle w:val="ESBodyText0"/>
        <w:numPr>
          <w:ilvl w:val="0"/>
          <w:numId w:val="33"/>
        </w:numPr>
      </w:pPr>
      <w:r>
        <w:t xml:space="preserve">Student Resource Package Expenditure figures are as of </w:t>
      </w:r>
      <w:r>
        <w:t>20 Feb 2024</w:t>
      </w:r>
      <w:r>
        <w:t xml:space="preserve"> and are subject to change during the reconciliation process.</w:t>
      </w:r>
    </w:p>
    <w:p w:rsidR="00597610" w:rsidP="00597610">
      <w:pPr>
        <w:pStyle w:val="ESBodyText0"/>
        <w:numPr>
          <w:ilvl w:val="0"/>
          <w:numId w:val="33"/>
        </w:numPr>
      </w:pPr>
      <w:r>
        <w:t xml:space="preserve">Miscellaneous Expenses include bank charges, administration expenses, </w:t>
      </w:r>
      <w:r>
        <w:t>insurance</w:t>
      </w:r>
      <w:r>
        <w:t xml:space="preserve"> and taxation charges.</w:t>
      </w:r>
    </w:p>
    <w:p w:rsidR="00597610" w:rsidP="00597610">
      <w:pPr>
        <w:pStyle w:val="ESBodyText0"/>
        <w:numPr>
          <w:ilvl w:val="0"/>
          <w:numId w:val="33"/>
        </w:numPr>
      </w:pPr>
      <w:r>
        <w:t>Salaries and Allowances refers to school-level payroll.</w:t>
      </w:r>
    </w:p>
    <w:p w:rsidR="00597610" w:rsidP="00681E32">
      <w:pPr>
        <w:pStyle w:val="ESBodyText0"/>
      </w:pPr>
    </w:p>
    <w:p w:rsidR="00F7013D" w:rsidP="00681E32">
      <w:pPr>
        <w:pStyle w:val="ESBodyText0"/>
      </w:pPr>
    </w:p>
    <w:p w:rsidR="00F7013D" w:rsidP="00F7013D">
      <w:pPr>
        <w:pStyle w:val="Style10"/>
        <w:spacing w:before="240" w:after="480" w:line="240" w:lineRule="atLeast"/>
        <w:rPr>
          <w:szCs w:val="24"/>
        </w:rPr>
      </w:pPr>
      <w:r w:rsidRPr="0099239B">
        <w:rPr>
          <w:szCs w:val="24"/>
        </w:rPr>
        <w:t>F</w:t>
      </w:r>
      <w:r>
        <w:rPr>
          <w:szCs w:val="24"/>
        </w:rPr>
        <w:t xml:space="preserve">INANCIAL POSITION AS AT 31 DECEMBER </w:t>
      </w:r>
      <w:r>
        <w:rPr>
          <w:szCs w:val="24"/>
        </w:rPr>
        <w:t>2023</w:t>
      </w:r>
    </w:p>
    <w:tbl>
      <w:tblPr>
        <w:tblStyle w:val="GridTable2-Accent612"/>
        <w:tblCaption w:val="Fund available"/>
        <w:tblW w:w="2876" w:type="pct"/>
        <w:jc w:val="center"/>
        <w:tblLook w:val="04A0"/>
      </w:tblPr>
      <w:tblGrid>
        <w:gridCol w:w="4395"/>
        <w:gridCol w:w="1798"/>
      </w:tblGrid>
      <w:tr w:rsidTr="00000FB7">
        <w:tblPrEx>
          <w:tblW w:w="2876" w:type="pct"/>
          <w:jc w:val="center"/>
          <w:tblLook w:val="04A0"/>
        </w:tblPrEx>
        <w:trPr>
          <w:trHeight w:hRule="exact" w:val="284"/>
          <w:tblHeader/>
          <w:jc w:val="center"/>
        </w:trPr>
        <w:tc>
          <w:tcPr>
            <w:tcW w:w="3548"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rsidR="00ED0F73" w:rsidRPr="004143FD" w:rsidP="00000FB7">
            <w:pPr>
              <w:spacing w:before="40" w:after="40" w:line="240" w:lineRule="auto"/>
              <w:rPr>
                <w:rFonts w:cs="Times New Roman"/>
                <w:bCs w:val="0"/>
                <w:szCs w:val="22"/>
              </w:rPr>
            </w:pPr>
            <w:r w:rsidRPr="004143FD">
              <w:rPr>
                <w:rFonts w:cs="Times New Roman"/>
                <w:bCs w:val="0"/>
                <w:szCs w:val="22"/>
              </w:rPr>
              <w:t>Funds available</w:t>
            </w:r>
          </w:p>
        </w:tc>
        <w:tc>
          <w:tcPr>
            <w:tcW w:w="1452" w:type="pct"/>
            <w:tcBorders>
              <w:left w:val="single" w:sz="8" w:space="0" w:color="FFFFFF" w:themeColor="background1"/>
              <w:bottom w:val="single" w:sz="8" w:space="0" w:color="FFFFFF" w:themeColor="background1"/>
            </w:tcBorders>
            <w:shd w:val="clear" w:color="auto" w:fill="FFC000"/>
            <w:vAlign w:val="center"/>
            <w:hideMark/>
          </w:tcPr>
          <w:p w:rsidR="00ED0F73" w:rsidRPr="004143FD" w:rsidP="00000FB7">
            <w:pPr>
              <w:spacing w:before="40" w:after="40" w:line="240" w:lineRule="auto"/>
              <w:jc w:val="right"/>
              <w:rPr>
                <w:rFonts w:cs="Times New Roman"/>
                <w:bCs w:val="0"/>
                <w:szCs w:val="22"/>
              </w:rPr>
            </w:pPr>
            <w:r w:rsidRPr="004143FD">
              <w:rPr>
                <w:rFonts w:cs="Times New Roman"/>
                <w:bCs w:val="0"/>
                <w:szCs w:val="22"/>
              </w:rPr>
              <w:t>Actual</w:t>
            </w:r>
          </w:p>
        </w:tc>
      </w:tr>
      <w:tr w:rsidTr="00000FB7">
        <w:tblPrEx>
          <w:tblW w:w="2876" w:type="pct"/>
          <w:jc w:val="center"/>
          <w:tblLook w:val="04A0"/>
        </w:tblPrEx>
        <w:trPr>
          <w:trHeight w:hRule="exact" w:val="284"/>
          <w:jc w:val="center"/>
        </w:trPr>
        <w:tc>
          <w:tcPr>
            <w:tcW w:w="3548" w:type="pct"/>
            <w:tcBorders>
              <w:top w:val="single" w:sz="8" w:space="0" w:color="FFFFFF" w:themeColor="background1"/>
              <w:bottom w:val="nil"/>
              <w:right w:val="nil"/>
            </w:tcBorders>
            <w:shd w:val="clear" w:color="auto" w:fill="D9D9D9" w:themeFill="background1" w:themeFillShade="D9"/>
            <w:noWrap/>
            <w:vAlign w:val="center"/>
          </w:tcPr>
          <w:p w:rsidR="00ED0F73" w:rsidP="00000FB7">
            <w:pPr>
              <w:spacing w:before="40" w:after="40" w:line="240" w:lineRule="auto"/>
              <w:rPr>
                <w:rFonts w:cs="Times New Roman"/>
                <w:b w:val="0"/>
                <w:szCs w:val="22"/>
              </w:rPr>
            </w:pPr>
            <w:r>
              <w:rPr>
                <w:rFonts w:cs="Times New Roman"/>
                <w:b w:val="0"/>
                <w:szCs w:val="22"/>
              </w:rPr>
              <w:t>High Yield Investment Account</w:t>
            </w:r>
          </w:p>
        </w:tc>
        <w:tc>
          <w:tcPr>
            <w:tcW w:w="1452" w:type="pct"/>
            <w:tcBorders>
              <w:top w:val="single" w:sz="8" w:space="0" w:color="FFFFFF" w:themeColor="background1"/>
              <w:left w:val="nil"/>
              <w:bottom w:val="nil"/>
            </w:tcBorders>
            <w:shd w:val="clear" w:color="auto" w:fill="D9D9D9" w:themeFill="background1" w:themeFillShade="D9"/>
            <w:noWrap/>
            <w:vAlign w:val="center"/>
          </w:tcPr>
          <w:p w:rsidR="00ED0F73" w:rsidP="00000FB7">
            <w:pPr>
              <w:jc w:val="right"/>
            </w:pPr>
            <w:r>
              <w:t>$1,701,720</w:t>
            </w:r>
          </w:p>
        </w:tc>
      </w:tr>
      <w:tr w:rsidTr="00000FB7">
        <w:tblPrEx>
          <w:tblW w:w="2876" w:type="pct"/>
          <w:jc w:val="center"/>
          <w:tblLook w:val="04A0"/>
        </w:tblPrEx>
        <w:trPr>
          <w:trHeight w:hRule="exact" w:val="284"/>
          <w:jc w:val="center"/>
        </w:trPr>
        <w:tc>
          <w:tcPr>
            <w:tcW w:w="3548" w:type="pct"/>
            <w:tcBorders>
              <w:top w:val="nil"/>
              <w:bottom w:val="nil"/>
              <w:right w:val="nil"/>
            </w:tcBorders>
            <w:shd w:val="clear" w:color="auto" w:fill="F2F2F2" w:themeFill="background1" w:themeFillShade="F2"/>
            <w:noWrap/>
            <w:vAlign w:val="center"/>
          </w:tcPr>
          <w:p w:rsidR="00ED0F73" w:rsidP="00000FB7">
            <w:pPr>
              <w:spacing w:before="40" w:after="40" w:line="240" w:lineRule="auto"/>
              <w:rPr>
                <w:rFonts w:cs="Times New Roman"/>
                <w:b w:val="0"/>
                <w:szCs w:val="22"/>
              </w:rPr>
            </w:pPr>
            <w:r>
              <w:rPr>
                <w:rFonts w:cs="Times New Roman"/>
                <w:b w:val="0"/>
                <w:szCs w:val="22"/>
              </w:rPr>
              <w:t>Official Account</w:t>
            </w:r>
          </w:p>
        </w:tc>
        <w:tc>
          <w:tcPr>
            <w:tcW w:w="1452" w:type="pct"/>
            <w:tcBorders>
              <w:top w:val="nil"/>
              <w:left w:val="nil"/>
              <w:bottom w:val="nil"/>
            </w:tcBorders>
            <w:shd w:val="clear" w:color="auto" w:fill="F2F2F2" w:themeFill="background1" w:themeFillShade="F2"/>
            <w:noWrap/>
            <w:vAlign w:val="center"/>
          </w:tcPr>
          <w:p w:rsidR="00ED0F73" w:rsidP="00000FB7">
            <w:pPr>
              <w:jc w:val="right"/>
            </w:pPr>
            <w:r>
              <w:t>$230,107</w:t>
            </w:r>
          </w:p>
        </w:tc>
      </w:tr>
      <w:tr w:rsidTr="00000FB7">
        <w:tblPrEx>
          <w:tblW w:w="2876" w:type="pct"/>
          <w:jc w:val="center"/>
          <w:tblLook w:val="04A0"/>
        </w:tblPrEx>
        <w:trPr>
          <w:trHeight w:hRule="exact" w:val="284"/>
          <w:jc w:val="center"/>
        </w:trPr>
        <w:tc>
          <w:tcPr>
            <w:tcW w:w="3548" w:type="pct"/>
            <w:tcBorders>
              <w:top w:val="nil"/>
              <w:bottom w:val="single" w:sz="8" w:space="0" w:color="FFFFFF" w:themeColor="background1"/>
              <w:right w:val="nil"/>
            </w:tcBorders>
            <w:shd w:val="clear" w:color="auto" w:fill="D9D9D9" w:themeFill="background1" w:themeFillShade="D9"/>
            <w:noWrap/>
            <w:vAlign w:val="center"/>
          </w:tcPr>
          <w:p w:rsidR="00ED0F73" w:rsidP="00000FB7">
            <w:pPr>
              <w:spacing w:before="40" w:after="40" w:line="240" w:lineRule="auto"/>
              <w:rPr>
                <w:rFonts w:cs="Times New Roman"/>
                <w:b w:val="0"/>
                <w:szCs w:val="22"/>
              </w:rPr>
            </w:pPr>
            <w:r>
              <w:rPr>
                <w:rFonts w:cs="Times New Roman"/>
                <w:b w:val="0"/>
                <w:szCs w:val="22"/>
              </w:rPr>
              <w:t>Other Accounts</w:t>
            </w:r>
          </w:p>
        </w:tc>
        <w:tc>
          <w:tcPr>
            <w:tcW w:w="1452" w:type="pct"/>
            <w:tcBorders>
              <w:top w:val="nil"/>
              <w:left w:val="nil"/>
              <w:bottom w:val="single" w:sz="8" w:space="0" w:color="FFFFFF" w:themeColor="background1"/>
            </w:tcBorders>
            <w:shd w:val="clear" w:color="auto" w:fill="D9D9D9" w:themeFill="background1" w:themeFillShade="D9"/>
            <w:noWrap/>
            <w:vAlign w:val="center"/>
          </w:tcPr>
          <w:p w:rsidR="00ED0F73" w:rsidP="00000FB7">
            <w:pPr>
              <w:jc w:val="right"/>
            </w:pPr>
            <w:r>
              <w:t>$0</w:t>
            </w:r>
          </w:p>
        </w:tc>
      </w:tr>
      <w:tr w:rsidTr="00000FB7">
        <w:tblPrEx>
          <w:tblW w:w="2876" w:type="pct"/>
          <w:jc w:val="center"/>
          <w:tblLook w:val="04A0"/>
        </w:tblPrEx>
        <w:trPr>
          <w:trHeight w:hRule="exact" w:val="284"/>
          <w:jc w:val="center"/>
        </w:trPr>
        <w:tc>
          <w:tcPr>
            <w:tcW w:w="3548" w:type="pct"/>
            <w:tcBorders>
              <w:top w:val="single" w:sz="8" w:space="0" w:color="FFFFFF" w:themeColor="background1"/>
              <w:bottom w:val="single" w:sz="8" w:space="0" w:color="FFFFFF" w:themeColor="background1"/>
              <w:right w:val="single" w:sz="8" w:space="0" w:color="FFFFFF" w:themeColor="background1"/>
            </w:tcBorders>
            <w:shd w:val="clear" w:color="auto" w:fill="A6A6A6" w:themeFill="background1" w:themeFillShade="A6"/>
            <w:noWrap/>
            <w:vAlign w:val="center"/>
            <w:hideMark/>
          </w:tcPr>
          <w:p w:rsidR="00ED0F73" w:rsidRPr="000C0E44" w:rsidP="00000FB7">
            <w:pPr>
              <w:spacing w:before="40" w:after="40" w:line="240" w:lineRule="auto"/>
              <w:rPr>
                <w:rFonts w:cs="Times New Roman"/>
                <w:szCs w:val="22"/>
              </w:rPr>
            </w:pPr>
            <w:r w:rsidRPr="000C0E44">
              <w:rPr>
                <w:rFonts w:cs="Times New Roman"/>
                <w:szCs w:val="22"/>
              </w:rPr>
              <w:t>Total Funds Available</w:t>
            </w:r>
          </w:p>
        </w:tc>
        <w:tc>
          <w:tcPr>
            <w:tcW w:w="1452" w:type="pct"/>
            <w:tcBorders>
              <w:top w:val="single" w:sz="8" w:space="0" w:color="FFFFFF" w:themeColor="background1"/>
              <w:left w:val="single" w:sz="8" w:space="0" w:color="FFFFFF" w:themeColor="background1"/>
              <w:bottom w:val="single" w:sz="8" w:space="0" w:color="FFFFFF" w:themeColor="background1"/>
            </w:tcBorders>
            <w:shd w:val="clear" w:color="auto" w:fill="FFC000"/>
            <w:noWrap/>
            <w:vAlign w:val="center"/>
          </w:tcPr>
          <w:p w:rsidR="00ED0F73" w:rsidRPr="000C0E44" w:rsidP="00000FB7">
            <w:pPr>
              <w:jc w:val="right"/>
              <w:rPr>
                <w:b/>
                <w:bCs/>
              </w:rPr>
            </w:pPr>
            <w:r>
              <w:rPr>
                <w:b/>
                <w:bCs/>
              </w:rPr>
              <w:t>$1,931,827</w:t>
            </w:r>
          </w:p>
        </w:tc>
      </w:tr>
    </w:tbl>
    <w:p w:rsidR="00F7013D" w:rsidP="00681E32">
      <w:pPr>
        <w:pStyle w:val="ESBodyText0"/>
      </w:pPr>
    </w:p>
    <w:tbl>
      <w:tblPr>
        <w:tblStyle w:val="GridTable2-Accent612"/>
        <w:tblCaption w:val="Fund available"/>
        <w:tblW w:w="2876" w:type="pct"/>
        <w:jc w:val="center"/>
        <w:tblLook w:val="04A0"/>
      </w:tblPr>
      <w:tblGrid>
        <w:gridCol w:w="4396"/>
        <w:gridCol w:w="1797"/>
      </w:tblGrid>
      <w:tr w:rsidTr="00000FB7">
        <w:tblPrEx>
          <w:tblW w:w="2876" w:type="pct"/>
          <w:jc w:val="center"/>
          <w:tblLook w:val="04A0"/>
        </w:tblPrEx>
        <w:trPr>
          <w:trHeight w:hRule="exact" w:val="284"/>
          <w:tblHeader/>
          <w:jc w:val="center"/>
        </w:trPr>
        <w:tc>
          <w:tcPr>
            <w:tcW w:w="3545" w:type="pct"/>
            <w:tcBorders>
              <w:bottom w:val="single" w:sz="8" w:space="0" w:color="FFFFFF" w:themeColor="background1"/>
              <w:right w:val="single" w:sz="8" w:space="0" w:color="FFFFFF" w:themeColor="background1"/>
            </w:tcBorders>
            <w:shd w:val="clear" w:color="auto" w:fill="A6A6A6" w:themeFill="background1" w:themeFillShade="A6"/>
            <w:vAlign w:val="center"/>
            <w:hideMark/>
          </w:tcPr>
          <w:p w:rsidR="00670695" w:rsidRPr="004143FD" w:rsidP="00000FB7">
            <w:pPr>
              <w:spacing w:before="40" w:after="40" w:line="240" w:lineRule="auto"/>
              <w:rPr>
                <w:rFonts w:cs="Times New Roman"/>
                <w:bCs w:val="0"/>
                <w:szCs w:val="22"/>
              </w:rPr>
            </w:pPr>
            <w:r w:rsidRPr="004143FD">
              <w:rPr>
                <w:rFonts w:cs="Times New Roman"/>
                <w:bCs w:val="0"/>
                <w:szCs w:val="22"/>
              </w:rPr>
              <w:t>Financial Commitments</w:t>
            </w:r>
          </w:p>
        </w:tc>
        <w:tc>
          <w:tcPr>
            <w:tcW w:w="1450" w:type="pct"/>
            <w:tcBorders>
              <w:left w:val="single" w:sz="8" w:space="0" w:color="FFFFFF" w:themeColor="background1"/>
              <w:bottom w:val="single" w:sz="8" w:space="0" w:color="FFFFFF" w:themeColor="background1"/>
            </w:tcBorders>
            <w:shd w:val="clear" w:color="auto" w:fill="FFC000"/>
            <w:vAlign w:val="center"/>
            <w:hideMark/>
          </w:tcPr>
          <w:p w:rsidR="00670695" w:rsidRPr="004143FD" w:rsidP="00000FB7">
            <w:pPr>
              <w:spacing w:before="40" w:after="40" w:line="240" w:lineRule="auto"/>
              <w:jc w:val="right"/>
              <w:rPr>
                <w:rFonts w:cs="Times New Roman"/>
                <w:bCs w:val="0"/>
                <w:szCs w:val="22"/>
              </w:rPr>
            </w:pPr>
            <w:r w:rsidRPr="004143FD">
              <w:rPr>
                <w:rFonts w:cs="Times New Roman"/>
                <w:bCs w:val="0"/>
                <w:szCs w:val="22"/>
              </w:rPr>
              <w:t>Actual</w:t>
            </w:r>
          </w:p>
        </w:tc>
      </w:tr>
      <w:tr w:rsidTr="00000FB7">
        <w:tblPrEx>
          <w:tblW w:w="2876" w:type="pct"/>
          <w:jc w:val="center"/>
          <w:tblLook w:val="04A0"/>
        </w:tblPrEx>
        <w:trPr>
          <w:trHeight w:hRule="exact" w:val="284"/>
          <w:jc w:val="center"/>
        </w:trPr>
        <w:tc>
          <w:tcPr>
            <w:tcW w:w="3545" w:type="pct"/>
            <w:tcBorders>
              <w:top w:val="single" w:sz="8" w:space="0" w:color="FFFFFF" w:themeColor="background1"/>
              <w:bottom w:val="nil"/>
              <w:right w:val="nil"/>
            </w:tcBorders>
            <w:shd w:val="clear" w:color="auto" w:fill="D9D9D9" w:themeFill="background1" w:themeFillShade="D9"/>
            <w:noWrap/>
            <w:vAlign w:val="center"/>
            <w:hideMark/>
          </w:tcPr>
          <w:p w:rsidR="00670695" w:rsidP="00000FB7">
            <w:pPr>
              <w:spacing w:before="40" w:after="40" w:line="240" w:lineRule="auto"/>
              <w:rPr>
                <w:rFonts w:cs="Times New Roman"/>
                <w:b w:val="0"/>
                <w:szCs w:val="22"/>
              </w:rPr>
            </w:pPr>
            <w:r>
              <w:rPr>
                <w:rFonts w:cs="Times New Roman"/>
                <w:b w:val="0"/>
                <w:szCs w:val="22"/>
              </w:rPr>
              <w:t>Operating Reserve</w:t>
            </w:r>
          </w:p>
        </w:tc>
        <w:tc>
          <w:tcPr>
            <w:tcW w:w="1450" w:type="pct"/>
            <w:tcBorders>
              <w:top w:val="single" w:sz="8" w:space="0" w:color="FFFFFF" w:themeColor="background1"/>
              <w:left w:val="nil"/>
              <w:bottom w:val="nil"/>
            </w:tcBorders>
            <w:shd w:val="clear" w:color="auto" w:fill="D9D9D9" w:themeFill="background1" w:themeFillShade="D9"/>
            <w:noWrap/>
            <w:vAlign w:val="center"/>
          </w:tcPr>
          <w:p w:rsidR="00670695" w:rsidP="00000FB7">
            <w:pPr>
              <w:jc w:val="right"/>
            </w:pPr>
            <w:r>
              <w:t>$557,236</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670695" w:rsidP="00000FB7">
            <w:pPr>
              <w:spacing w:before="40" w:after="40" w:line="240" w:lineRule="auto"/>
              <w:rPr>
                <w:rFonts w:cs="Times New Roman"/>
                <w:b w:val="0"/>
                <w:szCs w:val="22"/>
              </w:rPr>
            </w:pPr>
            <w:r>
              <w:rPr>
                <w:b w:val="0"/>
                <w:lang w:val="en-US"/>
              </w:rPr>
              <w:t>Other Recurrent Expenditure</w:t>
            </w:r>
          </w:p>
        </w:tc>
        <w:tc>
          <w:tcPr>
            <w:tcW w:w="1450" w:type="pct"/>
            <w:tcBorders>
              <w:top w:val="nil"/>
              <w:left w:val="nil"/>
              <w:bottom w:val="nil"/>
            </w:tcBorders>
            <w:shd w:val="clear" w:color="auto" w:fill="F2F2F2" w:themeFill="background1" w:themeFillShade="F2"/>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670695" w:rsidP="00000FB7">
            <w:pPr>
              <w:spacing w:before="40" w:after="40" w:line="240" w:lineRule="auto"/>
              <w:rPr>
                <w:rFonts w:cs="Times New Roman"/>
                <w:b w:val="0"/>
                <w:szCs w:val="22"/>
              </w:rPr>
            </w:pPr>
            <w:r>
              <w:rPr>
                <w:b w:val="0"/>
                <w:lang w:val="en-US"/>
              </w:rPr>
              <w:t>Provision Accounts</w:t>
            </w:r>
          </w:p>
        </w:tc>
        <w:tc>
          <w:tcPr>
            <w:tcW w:w="1450" w:type="pct"/>
            <w:tcBorders>
              <w:top w:val="nil"/>
              <w:left w:val="nil"/>
              <w:bottom w:val="nil"/>
            </w:tcBorders>
            <w:shd w:val="clear" w:color="auto" w:fill="D9D9D9" w:themeFill="background1" w:themeFillShade="D9"/>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670695" w:rsidP="00000FB7">
            <w:pPr>
              <w:spacing w:before="40" w:after="40" w:line="240" w:lineRule="auto"/>
              <w:rPr>
                <w:rFonts w:cs="Times New Roman"/>
                <w:b w:val="0"/>
                <w:szCs w:val="22"/>
              </w:rPr>
            </w:pPr>
            <w:r>
              <w:rPr>
                <w:b w:val="0"/>
                <w:lang w:val="en-US"/>
              </w:rPr>
              <w:t>Funds Received in Advance</w:t>
            </w:r>
          </w:p>
        </w:tc>
        <w:tc>
          <w:tcPr>
            <w:tcW w:w="1450" w:type="pct"/>
            <w:tcBorders>
              <w:top w:val="nil"/>
              <w:left w:val="nil"/>
              <w:bottom w:val="nil"/>
            </w:tcBorders>
            <w:shd w:val="clear" w:color="auto" w:fill="F2F2F2" w:themeFill="background1" w:themeFillShade="F2"/>
            <w:noWrap/>
            <w:vAlign w:val="center"/>
          </w:tcPr>
          <w:p w:rsidR="00670695" w:rsidP="00000FB7">
            <w:pPr>
              <w:jc w:val="right"/>
            </w:pPr>
            <w:r>
              <w:t>$317,600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670695" w:rsidP="00000FB7">
            <w:pPr>
              <w:spacing w:before="40" w:after="40" w:line="240" w:lineRule="auto"/>
              <w:rPr>
                <w:rFonts w:cs="Times New Roman"/>
                <w:b w:val="0"/>
                <w:bCs w:val="0"/>
                <w:szCs w:val="22"/>
              </w:rPr>
            </w:pPr>
            <w:r>
              <w:rPr>
                <w:b w:val="0"/>
                <w:lang w:val="en-US"/>
              </w:rPr>
              <w:t>School Based Programs</w:t>
            </w:r>
          </w:p>
        </w:tc>
        <w:tc>
          <w:tcPr>
            <w:tcW w:w="1450" w:type="pct"/>
            <w:tcBorders>
              <w:top w:val="nil"/>
              <w:left w:val="nil"/>
              <w:bottom w:val="nil"/>
            </w:tcBorders>
            <w:shd w:val="clear" w:color="auto" w:fill="D9D9D9" w:themeFill="background1" w:themeFillShade="D9"/>
            <w:noWrap/>
            <w:vAlign w:val="center"/>
          </w:tcPr>
          <w:p w:rsidR="00670695" w:rsidP="00000FB7">
            <w:pPr>
              <w:jc w:val="right"/>
            </w:pPr>
            <w:r>
              <w:t>$479,038</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670695" w:rsidP="00000FB7">
            <w:pPr>
              <w:spacing w:before="40" w:after="40" w:line="240" w:lineRule="auto"/>
              <w:rPr>
                <w:rFonts w:cs="Times New Roman"/>
                <w:b w:val="0"/>
                <w:szCs w:val="22"/>
              </w:rPr>
            </w:pPr>
            <w:r>
              <w:rPr>
                <w:b w:val="0"/>
                <w:lang w:val="en-US"/>
              </w:rPr>
              <w:t>Beneficiary/Memorial Accounts</w:t>
            </w:r>
          </w:p>
        </w:tc>
        <w:tc>
          <w:tcPr>
            <w:tcW w:w="1450" w:type="pct"/>
            <w:tcBorders>
              <w:top w:val="nil"/>
              <w:left w:val="nil"/>
              <w:bottom w:val="nil"/>
            </w:tcBorders>
            <w:shd w:val="clear" w:color="auto" w:fill="F2F2F2" w:themeFill="background1" w:themeFillShade="F2"/>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670695" w:rsidP="00000FB7">
            <w:pPr>
              <w:spacing w:before="40" w:after="40" w:line="240" w:lineRule="auto"/>
              <w:rPr>
                <w:rFonts w:cs="Times New Roman"/>
                <w:b w:val="0"/>
                <w:szCs w:val="22"/>
              </w:rPr>
            </w:pPr>
            <w:r>
              <w:rPr>
                <w:b w:val="0"/>
                <w:lang w:val="en-US"/>
              </w:rPr>
              <w:t>Cooperative Bank Account</w:t>
            </w:r>
          </w:p>
        </w:tc>
        <w:tc>
          <w:tcPr>
            <w:tcW w:w="1450" w:type="pct"/>
            <w:tcBorders>
              <w:top w:val="nil"/>
              <w:left w:val="nil"/>
              <w:bottom w:val="nil"/>
            </w:tcBorders>
            <w:shd w:val="clear" w:color="auto" w:fill="D9D9D9" w:themeFill="background1" w:themeFillShade="D9"/>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670695" w:rsidP="00000FB7">
            <w:pPr>
              <w:spacing w:before="40" w:after="40" w:line="240" w:lineRule="auto"/>
              <w:rPr>
                <w:rFonts w:cs="Times New Roman"/>
                <w:b w:val="0"/>
                <w:szCs w:val="22"/>
              </w:rPr>
            </w:pPr>
            <w:r>
              <w:rPr>
                <w:b w:val="0"/>
                <w:lang w:val="en-US"/>
              </w:rPr>
              <w:t>Funds for Committees/Shared Arrangements</w:t>
            </w:r>
          </w:p>
        </w:tc>
        <w:tc>
          <w:tcPr>
            <w:tcW w:w="1450" w:type="pct"/>
            <w:tcBorders>
              <w:top w:val="nil"/>
              <w:left w:val="nil"/>
              <w:bottom w:val="nil"/>
            </w:tcBorders>
            <w:shd w:val="clear" w:color="auto" w:fill="F2F2F2" w:themeFill="background1" w:themeFillShade="F2"/>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670695" w:rsidP="00000FB7">
            <w:pPr>
              <w:spacing w:before="40" w:after="40" w:line="240" w:lineRule="auto"/>
              <w:rPr>
                <w:rFonts w:cs="Times New Roman"/>
                <w:b w:val="0"/>
                <w:szCs w:val="22"/>
              </w:rPr>
            </w:pPr>
            <w:r>
              <w:rPr>
                <w:b w:val="0"/>
                <w:lang w:val="en-US"/>
              </w:rPr>
              <w:t>Repayable to the Department</w:t>
            </w:r>
          </w:p>
        </w:tc>
        <w:tc>
          <w:tcPr>
            <w:tcW w:w="1450" w:type="pct"/>
            <w:tcBorders>
              <w:top w:val="nil"/>
              <w:left w:val="nil"/>
              <w:bottom w:val="nil"/>
            </w:tcBorders>
            <w:shd w:val="clear" w:color="auto" w:fill="D9D9D9" w:themeFill="background1" w:themeFillShade="D9"/>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670695" w:rsidP="00000FB7">
            <w:pPr>
              <w:spacing w:before="40" w:after="40" w:line="240" w:lineRule="auto"/>
              <w:rPr>
                <w:rFonts w:cs="Times New Roman"/>
                <w:b w:val="0"/>
                <w:szCs w:val="22"/>
              </w:rPr>
            </w:pPr>
            <w:r>
              <w:rPr>
                <w:b w:val="0"/>
                <w:lang w:val="en-US"/>
              </w:rPr>
              <w:t>Asset/Equipment Replacement &lt; 12 months</w:t>
            </w:r>
          </w:p>
        </w:tc>
        <w:tc>
          <w:tcPr>
            <w:tcW w:w="1450" w:type="pct"/>
            <w:tcBorders>
              <w:top w:val="nil"/>
              <w:left w:val="nil"/>
              <w:bottom w:val="nil"/>
            </w:tcBorders>
            <w:shd w:val="clear" w:color="auto" w:fill="F2F2F2" w:themeFill="background1" w:themeFillShade="F2"/>
            <w:noWrap/>
            <w:vAlign w:val="center"/>
          </w:tcPr>
          <w:p w:rsidR="00670695" w:rsidP="00000FB7">
            <w:pPr>
              <w:jc w:val="right"/>
            </w:pPr>
            <w:r>
              <w:t>$250,000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670695" w:rsidP="00000FB7">
            <w:pPr>
              <w:spacing w:before="40" w:after="40" w:line="240" w:lineRule="auto"/>
              <w:rPr>
                <w:rFonts w:cs="Times New Roman"/>
                <w:b w:val="0"/>
                <w:szCs w:val="22"/>
              </w:rPr>
            </w:pPr>
            <w:r>
              <w:rPr>
                <w:b w:val="0"/>
                <w:lang w:val="en-US"/>
              </w:rPr>
              <w:t>Capital - Buildings/Grounds &lt; 12 months</w:t>
            </w:r>
          </w:p>
        </w:tc>
        <w:tc>
          <w:tcPr>
            <w:tcW w:w="1450" w:type="pct"/>
            <w:tcBorders>
              <w:top w:val="nil"/>
              <w:left w:val="nil"/>
              <w:bottom w:val="nil"/>
            </w:tcBorders>
            <w:shd w:val="clear" w:color="auto" w:fill="D9D9D9" w:themeFill="background1" w:themeFillShade="D9"/>
            <w:noWrap/>
            <w:vAlign w:val="center"/>
          </w:tcPr>
          <w:p w:rsidR="00670695" w:rsidP="00000FB7">
            <w:pPr>
              <w:jc w:val="right"/>
            </w:pPr>
            <w:r>
              <w:t>$300,000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670695" w:rsidP="00000FB7">
            <w:pPr>
              <w:spacing w:before="40" w:after="40" w:line="240" w:lineRule="auto"/>
              <w:rPr>
                <w:rFonts w:cs="Times New Roman"/>
                <w:b w:val="0"/>
                <w:szCs w:val="22"/>
              </w:rPr>
            </w:pPr>
            <w:r>
              <w:rPr>
                <w:b w:val="0"/>
                <w:lang w:val="en-US"/>
              </w:rPr>
              <w:t>Maintenance - Buildings/Grounds &lt; 12 months</w:t>
            </w:r>
          </w:p>
        </w:tc>
        <w:tc>
          <w:tcPr>
            <w:tcW w:w="1450" w:type="pct"/>
            <w:tcBorders>
              <w:top w:val="nil"/>
              <w:left w:val="nil"/>
              <w:bottom w:val="nil"/>
            </w:tcBorders>
            <w:shd w:val="clear" w:color="auto" w:fill="F2F2F2" w:themeFill="background1" w:themeFillShade="F2"/>
            <w:noWrap/>
            <w:vAlign w:val="center"/>
          </w:tcPr>
          <w:p w:rsidR="00670695" w:rsidP="00000FB7">
            <w:pPr>
              <w:jc w:val="right"/>
            </w:pPr>
            <w:r>
              <w:t>$25,000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D9D9D9" w:themeFill="background1" w:themeFillShade="D9"/>
            <w:noWrap/>
          </w:tcPr>
          <w:p w:rsidR="00670695" w:rsidP="00000FB7">
            <w:pPr>
              <w:spacing w:before="40" w:after="40" w:line="240" w:lineRule="auto"/>
              <w:rPr>
                <w:rFonts w:cs="Times New Roman"/>
                <w:b w:val="0"/>
                <w:szCs w:val="22"/>
              </w:rPr>
            </w:pPr>
            <w:r>
              <w:rPr>
                <w:b w:val="0"/>
                <w:lang w:val="en-US"/>
              </w:rPr>
              <w:t>Asset/Equipment Replacement &gt; 12 months</w:t>
            </w:r>
          </w:p>
        </w:tc>
        <w:tc>
          <w:tcPr>
            <w:tcW w:w="1450" w:type="pct"/>
            <w:tcBorders>
              <w:top w:val="nil"/>
              <w:left w:val="nil"/>
              <w:bottom w:val="nil"/>
            </w:tcBorders>
            <w:shd w:val="clear" w:color="auto" w:fill="D9D9D9" w:themeFill="background1" w:themeFillShade="D9"/>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nil"/>
              <w:bottom w:val="nil"/>
              <w:right w:val="nil"/>
            </w:tcBorders>
            <w:shd w:val="clear" w:color="auto" w:fill="F2F2F2" w:themeFill="background1" w:themeFillShade="F2"/>
            <w:noWrap/>
          </w:tcPr>
          <w:p w:rsidR="00670695" w:rsidP="00000FB7">
            <w:pPr>
              <w:spacing w:before="40" w:after="40" w:line="240" w:lineRule="auto"/>
              <w:rPr>
                <w:rFonts w:cs="Times New Roman"/>
                <w:b w:val="0"/>
                <w:szCs w:val="22"/>
              </w:rPr>
            </w:pPr>
            <w:r>
              <w:rPr>
                <w:b w:val="0"/>
                <w:lang w:val="en-US"/>
              </w:rPr>
              <w:t>Capital - Buildings/Grounds &gt; 12 months</w:t>
            </w:r>
          </w:p>
        </w:tc>
        <w:tc>
          <w:tcPr>
            <w:tcW w:w="1450" w:type="pct"/>
            <w:tcBorders>
              <w:top w:val="nil"/>
              <w:left w:val="nil"/>
              <w:bottom w:val="nil"/>
            </w:tcBorders>
            <w:shd w:val="clear" w:color="auto" w:fill="F2F2F2" w:themeFill="background1" w:themeFillShade="F2"/>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nil"/>
              <w:bottom w:val="single" w:sz="8" w:space="0" w:color="FFFFFF" w:themeColor="background1"/>
              <w:right w:val="nil"/>
            </w:tcBorders>
            <w:shd w:val="clear" w:color="auto" w:fill="D9D9D9" w:themeFill="background1" w:themeFillShade="D9"/>
            <w:noWrap/>
          </w:tcPr>
          <w:p w:rsidR="00670695" w:rsidP="00000FB7">
            <w:pPr>
              <w:spacing w:before="40" w:after="40" w:line="240" w:lineRule="auto"/>
              <w:rPr>
                <w:rFonts w:cs="Times New Roman"/>
                <w:b w:val="0"/>
                <w:szCs w:val="22"/>
              </w:rPr>
            </w:pPr>
            <w:r>
              <w:rPr>
                <w:b w:val="0"/>
                <w:lang w:val="en-US"/>
              </w:rPr>
              <w:t>Maintenance - Buildings/Grounds &gt; 12 months</w:t>
            </w:r>
          </w:p>
        </w:tc>
        <w:tc>
          <w:tcPr>
            <w:tcW w:w="1450" w:type="pct"/>
            <w:tcBorders>
              <w:top w:val="nil"/>
              <w:left w:val="nil"/>
              <w:bottom w:val="single" w:sz="8" w:space="0" w:color="FFFFFF" w:themeColor="background1"/>
            </w:tcBorders>
            <w:shd w:val="clear" w:color="auto" w:fill="D9D9D9" w:themeFill="background1" w:themeFillShade="D9"/>
            <w:noWrap/>
            <w:vAlign w:val="center"/>
          </w:tcPr>
          <w:p w:rsidR="00670695" w:rsidP="00000FB7">
            <w:pPr>
              <w:jc w:val="right"/>
            </w:pPr>
            <w:r>
              <w:t>$0</w:t>
            </w:r>
          </w:p>
        </w:tc>
      </w:tr>
      <w:tr w:rsidTr="00000FB7">
        <w:tblPrEx>
          <w:tblW w:w="2876" w:type="pct"/>
          <w:jc w:val="center"/>
          <w:tblLook w:val="04A0"/>
        </w:tblPrEx>
        <w:trPr>
          <w:trHeight w:hRule="exact" w:val="284"/>
          <w:jc w:val="center"/>
        </w:trPr>
        <w:tc>
          <w:tcPr>
            <w:tcW w:w="3545" w:type="pct"/>
            <w:tcBorders>
              <w:top w:val="single" w:sz="8" w:space="0" w:color="FFFFFF" w:themeColor="background1"/>
              <w:bottom w:val="nil"/>
              <w:right w:val="single" w:sz="8" w:space="0" w:color="FFFFFF" w:themeColor="background1"/>
            </w:tcBorders>
            <w:shd w:val="clear" w:color="auto" w:fill="A6A6A6" w:themeFill="background1" w:themeFillShade="A6"/>
            <w:noWrap/>
            <w:vAlign w:val="center"/>
            <w:hideMark/>
          </w:tcPr>
          <w:p w:rsidR="00670695" w:rsidRPr="004143FD" w:rsidP="00000FB7">
            <w:pPr>
              <w:spacing w:before="40" w:after="40" w:line="240" w:lineRule="auto"/>
              <w:rPr>
                <w:rFonts w:cs="Times New Roman"/>
                <w:szCs w:val="22"/>
              </w:rPr>
            </w:pPr>
            <w:r w:rsidRPr="004143FD">
              <w:rPr>
                <w:rFonts w:cs="Times New Roman"/>
                <w:szCs w:val="22"/>
              </w:rPr>
              <w:t>Total Financial Commitments</w:t>
            </w:r>
          </w:p>
        </w:tc>
        <w:tc>
          <w:tcPr>
            <w:tcW w:w="1450" w:type="pct"/>
            <w:tcBorders>
              <w:top w:val="single" w:sz="8" w:space="0" w:color="FFFFFF" w:themeColor="background1"/>
              <w:left w:val="single" w:sz="8" w:space="0" w:color="FFFFFF" w:themeColor="background1"/>
              <w:bottom w:val="nil"/>
            </w:tcBorders>
            <w:shd w:val="clear" w:color="auto" w:fill="FFC000"/>
            <w:noWrap/>
            <w:vAlign w:val="center"/>
          </w:tcPr>
          <w:p w:rsidR="00670695" w:rsidRPr="004143FD" w:rsidP="00000FB7">
            <w:pPr>
              <w:jc w:val="right"/>
              <w:rPr>
                <w:b/>
                <w:bCs/>
              </w:rPr>
            </w:pPr>
            <w:r>
              <w:rPr>
                <w:b/>
                <w:bCs/>
              </w:rPr>
              <w:t>$1,928,874</w:t>
            </w:r>
          </w:p>
        </w:tc>
      </w:tr>
    </w:tbl>
    <w:p w:rsidR="00670695" w:rsidP="00681E32">
      <w:pPr>
        <w:pStyle w:val="ESBodyText0"/>
      </w:pPr>
    </w:p>
    <w:p w:rsidR="00826333" w:rsidP="00826333">
      <w:pPr>
        <w:pStyle w:val="ESBodyText0"/>
        <w:rPr>
          <w:i/>
        </w:rPr>
      </w:pPr>
      <w:r>
        <w:rPr>
          <w:i/>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p w:rsidR="00670695" w:rsidP="00681E32">
      <w:pPr>
        <w:pStyle w:val="ESBodyText0"/>
      </w:pPr>
    </w:p>
    <w:sectPr w:rsidSect="002334ED">
      <w:headerReference w:type="default" r:id="rId39"/>
      <w:footerReference w:type="default" r:id="rId40"/>
      <w:headerReference w:type="first" r:id="rId41"/>
      <w:type w:val="continuous"/>
      <w:pgSz w:w="11900" w:h="16840"/>
      <w:pgMar w:top="1276" w:right="567" w:bottom="709" w:left="567" w:header="142" w:footer="325" w:gutter="0"/>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941"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6941"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941" w:rsidRPr="003E29B5" w:rsidP="00B076DB">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1636962"/>
      <w:docPartObj>
        <w:docPartGallery w:val="Page Numbers (Bottom of Page)"/>
        <w:docPartUnique/>
      </w:docPartObj>
    </w:sdtPr>
    <w:sdtEndPr>
      <w:rPr>
        <w:noProof/>
      </w:rPr>
    </w:sdtEndPr>
    <w:sdtContent>
      <w:p w:rsidR="005E4B2D">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7303503"/>
      <w:docPartObj>
        <w:docPartGallery w:val="Page Numbers (Bottom of Page)"/>
        <w:docPartUnique/>
      </w:docPartObj>
    </w:sdtPr>
    <w:sdtEndPr>
      <w:rPr>
        <w:rStyle w:val="DefaultParagraphFont"/>
        <w:noProof/>
      </w:rPr>
    </w:sdtEndPr>
    <w:sdtContent>
      <w:p w:rsidR="005E4B2D">
        <w:pPr>
          <w:pStyle w:val="Footer0"/>
          <w:jc w:val="right"/>
          <w:rPr>
            <w:rStyle w:val="DefaultParagraphFont"/>
          </w:rPr>
        </w:pPr>
        <w:r>
          <w:rPr>
            <w:rStyle w:val="DefaultParagraphFont"/>
          </w:rPr>
          <w:fldChar w:fldCharType="begin"/>
        </w:r>
        <w:r>
          <w:rPr>
            <w:rStyle w:val="DefaultParagraphFont"/>
          </w:rPr>
          <w:instrText xml:space="preserve"> PAGE   \* MERGEFORMAT </w:instrText>
        </w:r>
        <w:r>
          <w:rPr>
            <w:rStyle w:val="DefaultParagraphFont"/>
          </w:rPr>
          <w:fldChar w:fldCharType="separate"/>
        </w:r>
        <w:r>
          <w:rPr>
            <w:rStyle w:val="DefaultParagraphFont"/>
            <w:noProof/>
          </w:rPr>
          <w:t>8</w:t>
        </w:r>
        <w:r>
          <w:rPr>
            <w:rStyle w:val="DefaultParagraphFont"/>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64058860"/>
      <w:docPartObj>
        <w:docPartGallery w:val="Page Numbers (Bottom of Page)"/>
        <w:docPartUnique/>
      </w:docPartObj>
    </w:sdtPr>
    <w:sdtEndPr>
      <w:rPr>
        <w:rStyle w:val="DefaultParagraphFont"/>
        <w:noProof/>
      </w:rPr>
    </w:sdtEndPr>
    <w:sdtContent>
      <w:p w:rsidR="005E4B2D">
        <w:pPr>
          <w:pStyle w:val="Footer"/>
          <w:jc w:val="right"/>
          <w:rPr>
            <w:rStyle w:val="DefaultParagraphFont"/>
          </w:rPr>
        </w:pPr>
        <w:r>
          <w:rPr>
            <w:rStyle w:val="DefaultParagraphFont"/>
          </w:rPr>
          <w:fldChar w:fldCharType="begin"/>
        </w:r>
        <w:r>
          <w:rPr>
            <w:rStyle w:val="DefaultParagraphFont"/>
          </w:rPr>
          <w:instrText xml:space="preserve"> PAGE   \* MERGEFORMAT </w:instrText>
        </w:r>
        <w:r>
          <w:rPr>
            <w:rStyle w:val="DefaultParagraphFont"/>
          </w:rPr>
          <w:fldChar w:fldCharType="separate"/>
        </w:r>
        <w:r>
          <w:rPr>
            <w:rStyle w:val="DefaultParagraphFont"/>
            <w:noProof/>
          </w:rPr>
          <w:t>8</w:t>
        </w:r>
        <w:r>
          <w:rPr>
            <w:rStyle w:val="DefaultParagraphFont"/>
            <w:noProof/>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941">
    <w:r>
      <w:rPr>
        <w:noProof/>
        <w:lang w:val="en-AU"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A66941"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A66941"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12CB" w:rsidP="000813BF">
    <w:pPr>
      <w:pStyle w:val="Header"/>
      <w:tabs>
        <w:tab w:val="clear" w:pos="4513"/>
        <w:tab w:val="clear" w:pos="9026"/>
      </w:tabs>
      <w:ind w:left="-562" w:right="259"/>
    </w:pPr>
    <w:r>
      <w:rPr>
        <w:noProof/>
      </w:rPr>
      <w:drawing>
        <wp:anchor distT="0" distB="0" distL="114300" distR="114300" simplePos="0" relativeHeight="251663360" behindDoc="1" locked="0" layoutInCell="1" allowOverlap="1">
          <wp:simplePos x="0" y="0"/>
          <wp:positionH relativeFrom="page">
            <wp:posOffset>0</wp:posOffset>
          </wp:positionH>
          <wp:positionV relativeFrom="page">
            <wp:posOffset>6985</wp:posOffset>
          </wp:positionV>
          <wp:extent cx="7549200" cy="106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a:ext>
                    </a:extLst>
                  </a:blip>
                  <a:stretch>
                    <a:fillRect/>
                  </a:stretch>
                </pic:blipFill>
                <pic:spPr>
                  <a:xfrm>
                    <a:off x="0" y="0"/>
                    <a:ext cx="7549200" cy="10670400"/>
                  </a:xfrm>
                  <a:prstGeom prst="rect">
                    <a:avLst/>
                  </a:prstGeom>
                </pic:spPr>
              </pic:pic>
            </a:graphicData>
          </a:graphic>
        </wp:anchor>
      </w:drawing>
    </w:r>
    <w:r w:rsidRPr="000C104E" w:rsidR="00A66941">
      <w:rPr>
        <w:noProof/>
        <w:lang w:val="en-AU" w:eastAsia="en-AU"/>
      </w:rPr>
      <w:drawing>
        <wp:anchor distT="0" distB="0" distL="114300" distR="114300" simplePos="0" relativeHeight="25166233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6941">
    <w:r>
      <w:rPr>
        <w:noProof/>
        <w:lang w:val="en-AU"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A66941"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A66941"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
      <w:spacing w:before="240"/>
    </w:pPr>
    <w:r>
      <w:rPr>
        <w:noProof/>
        <w:lang w:val="en-AU" w:eastAsia="en-AU"/>
      </w:rPr>
      <w:drawing>
        <wp:inline distT="0" distB="0" distL="0" distR="0">
          <wp:extent cx="1574060" cy="474979"/>
          <wp:effectExtent l="0" t="0" r="7620" b="1905"/>
          <wp:docPr id="38"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xmlns:r="http://schemas.openxmlformats.org/officeDocument/2006/relationships"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noProof/>
        <w:sz w:val="22"/>
        <w:lang w:val="en-AU" w:eastAsia="en-AU"/>
      </w:rPr>
      <w:t>Fountain Gate Secondary College</w:t>
    </w:r>
    <w:r>
      <w:rPr>
        <w:noProof/>
        <w:sz w:val="22"/>
        <w:lang w:val="en-AU" w:eastAsia="en-AU"/>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
      <w:ind w:left="-993"/>
    </w:pPr>
    <w:r>
      <w:ptab w:relativeTo="margin" w:alignment="left" w:leader="none"/>
    </w:r>
  </w:p>
  <w:p w:rsidR="005E4B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0"/>
      <w:spacing w:before="240"/>
      <w:rPr>
        <w:rStyle w:val="DefaultParagraphFont"/>
      </w:rPr>
    </w:pPr>
    <w:r>
      <w:rPr>
        <w:noProof/>
        <w:lang w:val="en-AU" w:eastAsia="en-AU"/>
      </w:rPr>
      <w:drawing>
        <wp:inline distT="0" distB="0" distL="0" distR="0">
          <wp:extent cx="1574060" cy="474979"/>
          <wp:effectExtent l="0" t="0" r="7620" b="1905"/>
          <wp:docPr id="85537630"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xmlns:r="http://schemas.openxmlformats.org/officeDocument/2006/relationships"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rStyle w:val="DefaultParagraphFont"/>
        <w:noProof/>
        <w:sz w:val="22"/>
        <w:lang w:val="en-AU" w:eastAsia="en-AU"/>
      </w:rPr>
      <w:t>Fountain Gate Secondary College</w:t>
    </w:r>
    <w:r>
      <w:rPr>
        <w:rStyle w:val="DefaultParagraphFont"/>
        <w:noProof/>
        <w:sz w:val="22"/>
        <w:lang w:val="en-AU" w:eastAsia="en-AU"/>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1"/>
      <w:ind w:left="-993"/>
      <w:rPr>
        <w:rStyle w:val="DefaultParagraphFont"/>
      </w:rPr>
    </w:pPr>
    <w:r>
      <w:ptab w:relativeTo="margin" w:alignment="left" w:leader="none"/>
    </w:r>
  </w:p>
  <w:p w:rsidR="005E4B2D">
    <w:pPr>
      <w:pStyle w:val="Header2"/>
      <w:rPr>
        <w:rStyle w:val="DefaultParagraphFon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
      <w:spacing w:before="240"/>
      <w:rPr>
        <w:rStyle w:val="DefaultParagraphFont"/>
      </w:rPr>
    </w:pPr>
    <w:r>
      <w:rPr>
        <w:noProof/>
        <w:lang w:val="en-AU" w:eastAsia="en-AU"/>
      </w:rPr>
      <w:drawing>
        <wp:inline distT="0" distB="0" distL="0" distR="0">
          <wp:extent cx="1574060" cy="474979"/>
          <wp:effectExtent l="0" t="0" r="7620" b="1905"/>
          <wp:docPr id="643508122" name="img3.jpg"/>
          <wp:cNvGraphicFramePr/>
          <a:graphic xmlns:a="http://schemas.openxmlformats.org/drawingml/2006/main">
            <a:graphicData uri="http://schemas.openxmlformats.org/drawingml/2006/picture">
              <pic:pic xmlns:pic="http://schemas.openxmlformats.org/drawingml/2006/picture">
                <pic:nvPicPr>
                  <pic:cNvPr id="38" name="img3.jpg"/>
                  <pic:cNvPicPr/>
                </pic:nvPicPr>
                <pic:blipFill>
                  <a:blip xmlns:r="http://schemas.openxmlformats.org/officeDocument/2006/relationships" r:embed="rId1"/>
                  <a:stretch>
                    <a:fillRect/>
                  </a:stretch>
                </pic:blipFill>
                <pic:spPr>
                  <a:xfrm>
                    <a:off x="0" y="0"/>
                    <a:ext cx="1574060" cy="474979"/>
                  </a:xfrm>
                  <a:prstGeom prst="rect">
                    <a:avLst/>
                  </a:prstGeom>
                </pic:spPr>
              </pic:pic>
            </a:graphicData>
          </a:graphic>
        </wp:inline>
      </w:drawing>
    </w:r>
    <w:r>
      <w:ptab w:relativeTo="margin" w:alignment="center" w:leader="none"/>
    </w:r>
    <w:r>
      <w:ptab w:relativeTo="margin" w:alignment="right" w:leader="none"/>
    </w:r>
    <w:r>
      <w:rPr>
        <w:rStyle w:val="DefaultParagraphFont"/>
        <w:noProof/>
        <w:sz w:val="22"/>
        <w:lang w:val="en-AU" w:eastAsia="en-AU"/>
      </w:rPr>
      <w:t>Fountain Gate Secondary College</w:t>
    </w:r>
    <w:r>
      <w:rPr>
        <w:rStyle w:val="DefaultParagraphFont"/>
        <w:noProof/>
        <w:sz w:val="22"/>
        <w:lang w:val="en-AU" w:eastAsia="en-AU"/>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4B2D">
    <w:pPr>
      <w:pStyle w:val="Header"/>
      <w:ind w:left="-993"/>
      <w:rPr>
        <w:rStyle w:val="DefaultParagraphFont"/>
      </w:rPr>
    </w:pPr>
    <w:r>
      <w:ptab w:relativeTo="margin" w:alignment="left" w:leader="none"/>
    </w:r>
  </w:p>
  <w:p w:rsidR="005E4B2D">
    <w:pPr>
      <w:pStyle w:val="Header"/>
      <w:rPr>
        <w:rStyle w:val="DefaultParagraphFon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18632EA"/>
    <w:multiLevelType w:val="multilevel"/>
    <w:tmpl w:val="138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9961710"/>
    <w:multiLevelType w:val="hybridMultilevel"/>
    <w:tmpl w:val="81F4F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5F02CC"/>
    <w:multiLevelType w:val="hybridMultilevel"/>
    <w:tmpl w:val="E5208B52"/>
    <w:lvl w:ilvl="0">
      <w:start w:val="1"/>
      <w:numFmt w:val="bullet"/>
      <w:lvlText w:val=""/>
      <w:lvlJc w:val="left"/>
      <w:pPr>
        <w:ind w:left="180" w:hanging="360"/>
      </w:pPr>
      <w:rPr>
        <w:rFonts w:ascii="Symbol" w:hAnsi="Symbol"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19">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nsid w:val="62E2458A"/>
    <w:multiLevelType w:val="hybridMultilevel"/>
    <w:tmpl w:val="0F5A6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3AE4D02"/>
    <w:multiLevelType w:val="hybridMultilevel"/>
    <w:tmpl w:val="209C8AF0"/>
    <w:lvl w:ilvl="0">
      <w:start w:val="1"/>
      <w:numFmt w:val="bullet"/>
      <w:lvlText w:val=""/>
      <w:lvlJc w:val="left"/>
      <w:pPr>
        <w:ind w:left="180" w:hanging="360"/>
      </w:pPr>
      <w:rPr>
        <w:rFonts w:ascii="Symbol" w:hAnsi="Symbol"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22">
    <w:nsid w:val="6FD9220F"/>
    <w:multiLevelType w:val="hybridMultilevel"/>
    <w:tmpl w:val="82AA4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4">
    <w:nsid w:val="7CFC19AF"/>
    <w:multiLevelType w:val="multilevel"/>
    <w:tmpl w:val="0A94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FCB6DE1"/>
    <w:multiLevelType w:val="multilevel"/>
    <w:tmpl w:val="7FCB6DE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FCB6DE2"/>
    <w:multiLevelType w:val="hybridMultilevel"/>
    <w:tmpl w:val="7FCB6D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FCB6DE3"/>
    <w:multiLevelType w:val="hybridMultilevel"/>
    <w:tmpl w:val="7FCB6D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FCB6DE4"/>
    <w:multiLevelType w:val="hybridMultilevel"/>
    <w:tmpl w:val="7FCB6D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FCB6DE5"/>
    <w:multiLevelType w:val="hybridMultilevel"/>
    <w:tmpl w:val="BDA61A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CB6DE6"/>
    <w:multiLevelType w:val="hybridMultilevel"/>
    <w:tmpl w:val="56347B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FCB6DE7"/>
    <w:multiLevelType w:val="hybridMultilevel"/>
    <w:tmpl w:val="49EC3F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25"/>
  </w:num>
  <w:num w:numId="14">
    <w:abstractNumId w:val="19"/>
  </w:num>
  <w:num w:numId="15">
    <w:abstractNumId w:val="23"/>
  </w:num>
  <w:num w:numId="16">
    <w:abstractNumId w:val="14"/>
  </w:num>
  <w:num w:numId="17">
    <w:abstractNumId w:val="16"/>
  </w:num>
  <w:num w:numId="18">
    <w:abstractNumId w:val="24"/>
  </w:num>
  <w:num w:numId="19">
    <w:abstractNumId w:val="11"/>
  </w:num>
  <w:num w:numId="20">
    <w:abstractNumId w:val="21"/>
  </w:num>
  <w:num w:numId="21">
    <w:abstractNumId w:val="18"/>
  </w:num>
  <w:num w:numId="22">
    <w:abstractNumId w:val="22"/>
  </w:num>
  <w:num w:numId="23">
    <w:abstractNumId w:val="20"/>
  </w:num>
  <w:num w:numId="24">
    <w:abstractNumId w:val="13"/>
  </w:num>
  <w:num w:numId="25">
    <w:abstractNumId w:val="15"/>
  </w:num>
  <w:num w:numId="26">
    <w:abstractNumId w:val="17"/>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name"/>
  <w:mailMerge>
    <w:mainDocumentType w:val="formLetters"/>
    <w:dataType w:val="textFile"/>
    <w:connectString w:val=""/>
    <w:activeRecord w:val="-1"/>
    <w:odso/>
  </w:mailMerg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semiHidden/>
    <w:unhideWhenUsed/>
    <w:qFormat/>
    <w:locked/>
    <w:rsid w:val="00B13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uiPriority w:val="99"/>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5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locked/>
    <w:rsid w:val="001F623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F6230"/>
    <w:rPr>
      <w:rFonts w:ascii="Segoe UI" w:hAnsi="Segoe UI" w:cs="Segoe UI"/>
      <w:sz w:val="18"/>
      <w:szCs w:val="18"/>
    </w:rPr>
  </w:style>
  <w:style w:type="character" w:customStyle="1" w:styleId="Heading4Char">
    <w:name w:val="Heading 4 Char"/>
    <w:basedOn w:val="DefaultParagraphFont"/>
    <w:link w:val="Heading4"/>
    <w:uiPriority w:val="9"/>
    <w:semiHidden/>
    <w:rsid w:val="00B13A07"/>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unhideWhenUsed/>
    <w:locked/>
    <w:rsid w:val="00F73E5D"/>
    <w:rPr>
      <w:color w:val="0000FF"/>
      <w:u w:val="single"/>
    </w:rPr>
  </w:style>
  <w:style w:type="paragraph" w:customStyle="1" w:styleId="Style1">
    <w:name w:val="Style1"/>
    <w:basedOn w:val="Normal"/>
    <w:link w:val="Style1Char"/>
    <w:qFormat/>
    <w:rsid w:val="007B205B"/>
    <w:pPr>
      <w:pBdr>
        <w:top w:val="single" w:sz="4" w:space="10" w:color="auto"/>
      </w:pBdr>
      <w:spacing w:before="120" w:after="0" w:line="240" w:lineRule="auto"/>
    </w:pPr>
    <w:rPr>
      <w:rFonts w:eastAsiaTheme="majorEastAsia" w:cstheme="majorBidi"/>
      <w:bCs/>
      <w:color w:val="C00000"/>
      <w:sz w:val="24"/>
      <w:szCs w:val="20"/>
    </w:rPr>
  </w:style>
  <w:style w:type="character" w:customStyle="1" w:styleId="Style1Char">
    <w:name w:val="Style1 Char"/>
    <w:basedOn w:val="DefaultParagraphFont"/>
    <w:link w:val="Style1"/>
    <w:rsid w:val="007B205B"/>
    <w:rPr>
      <w:rFonts w:ascii="Arial" w:hAnsi="Arial" w:eastAsiaTheme="majorEastAsia" w:cstheme="majorBidi"/>
      <w:bCs/>
      <w:color w:val="C00000"/>
      <w:szCs w:val="20"/>
    </w:rPr>
  </w:style>
  <w:style w:type="paragraph" w:customStyle="1" w:styleId="Covertitle">
    <w:name w:val="Cover title"/>
    <w:basedOn w:val="Normal"/>
    <w:qFormat/>
    <w:rsid w:val="00642089"/>
    <w:pPr>
      <w:spacing w:after="180" w:line="240" w:lineRule="auto"/>
    </w:pPr>
    <w:rPr>
      <w:rFonts w:asciiTheme="minorHAnsi" w:eastAsiaTheme="minorHAnsi" w:hAnsiTheme="minorHAnsi" w:cs="Times New Roman (Body CS)"/>
      <w:b/>
      <w:color w:val="FFFFFF" w:themeColor="background1"/>
      <w:sz w:val="56"/>
      <w:szCs w:val="24"/>
      <w:lang w:val="en-AU"/>
    </w:rPr>
  </w:style>
  <w:style w:type="character" w:customStyle="1" w:styleId="UnresolvedMention">
    <w:name w:val="Unresolved Mention"/>
    <w:basedOn w:val="DefaultParagraphFont"/>
    <w:uiPriority w:val="99"/>
    <w:semiHidden/>
    <w:unhideWhenUsed/>
    <w:rsid w:val="00376AC0"/>
    <w:rPr>
      <w:color w:val="605E5C"/>
      <w:shd w:val="clear" w:color="auto" w:fill="E1DFDD"/>
    </w:rPr>
  </w:style>
  <w:style w:type="paragraph" w:customStyle="1" w:styleId="Header0">
    <w:name w:val="Header_0"/>
    <w:basedOn w:val="Normal0"/>
    <w:link w:val="HeaderChar0"/>
    <w:uiPriority w:val="99"/>
    <w:locked/>
    <w:pPr>
      <w:tabs>
        <w:tab w:val="center" w:pos="4513"/>
        <w:tab w:val="right" w:pos="9026"/>
      </w:tabs>
      <w:spacing w:after="0" w:line="240" w:lineRule="auto"/>
    </w:pPr>
  </w:style>
  <w:style w:type="paragraph" w:customStyle="1" w:styleId="Normal0">
    <w:name w:val="Normal_0"/>
    <w:semiHidden/>
    <w:qFormat/>
    <w:pPr>
      <w:spacing w:after="120" w:line="240" w:lineRule="atLeast"/>
    </w:pPr>
    <w:rPr>
      <w:rFonts w:ascii="Arial" w:hAnsi="Arial" w:cs="Arial"/>
      <w:sz w:val="18"/>
      <w:szCs w:val="18"/>
    </w:rPr>
  </w:style>
  <w:style w:type="character" w:customStyle="1" w:styleId="HeaderChar0">
    <w:name w:val="Header Char_0"/>
    <w:basedOn w:val="DefaultParagraphFont"/>
    <w:link w:val="Header0"/>
    <w:uiPriority w:val="99"/>
    <w:rPr>
      <w:rFonts w:ascii="Arial" w:hAnsi="Arial" w:cs="Arial"/>
      <w:sz w:val="18"/>
      <w:szCs w:val="18"/>
    </w:rPr>
  </w:style>
  <w:style w:type="paragraph" w:customStyle="1" w:styleId="Footer0">
    <w:name w:val="Footer_0"/>
    <w:basedOn w:val="Normal1"/>
    <w:link w:val="FooterChar0"/>
    <w:uiPriority w:val="99"/>
    <w:pPr>
      <w:tabs>
        <w:tab w:val="center" w:pos="4320"/>
        <w:tab w:val="right" w:pos="8640"/>
      </w:tabs>
    </w:pPr>
  </w:style>
  <w:style w:type="paragraph" w:customStyle="1" w:styleId="Normal1">
    <w:name w:val="Normal_1"/>
    <w:semiHidden/>
    <w:qFormat/>
    <w:pPr>
      <w:spacing w:after="120" w:line="240" w:lineRule="atLeast"/>
    </w:pPr>
    <w:rPr>
      <w:rFonts w:ascii="Arial" w:hAnsi="Arial" w:cs="Arial"/>
      <w:sz w:val="18"/>
      <w:szCs w:val="18"/>
    </w:rPr>
  </w:style>
  <w:style w:type="character" w:customStyle="1" w:styleId="FooterChar0">
    <w:name w:val="Footer Char_0"/>
    <w:basedOn w:val="DefaultParagraphFont"/>
    <w:link w:val="Footer0"/>
    <w:uiPriority w:val="99"/>
    <w:rPr>
      <w:rFonts w:ascii="Arial" w:hAnsi="Arial" w:cs="Arial"/>
      <w:sz w:val="18"/>
      <w:szCs w:val="18"/>
    </w:rPr>
  </w:style>
  <w:style w:type="paragraph" w:customStyle="1" w:styleId="Header1">
    <w:name w:val="Header_1"/>
    <w:basedOn w:val="Normal2"/>
    <w:link w:val="HeaderChar1"/>
    <w:uiPriority w:val="99"/>
    <w:locked/>
    <w:pPr>
      <w:tabs>
        <w:tab w:val="center" w:pos="4513"/>
        <w:tab w:val="right" w:pos="9026"/>
      </w:tabs>
      <w:spacing w:after="0" w:line="240" w:lineRule="auto"/>
    </w:pPr>
  </w:style>
  <w:style w:type="paragraph" w:customStyle="1" w:styleId="Normal2">
    <w:name w:val="Normal_2"/>
    <w:semiHidden/>
    <w:qFormat/>
    <w:pPr>
      <w:spacing w:after="120" w:line="240" w:lineRule="atLeast"/>
    </w:pPr>
    <w:rPr>
      <w:rFonts w:ascii="Arial" w:hAnsi="Arial" w:cs="Arial"/>
      <w:sz w:val="18"/>
      <w:szCs w:val="18"/>
    </w:rPr>
  </w:style>
  <w:style w:type="character" w:customStyle="1" w:styleId="HeaderChar1">
    <w:name w:val="Header Char_1"/>
    <w:basedOn w:val="DefaultParagraphFont"/>
    <w:link w:val="Header1"/>
    <w:uiPriority w:val="99"/>
    <w:rPr>
      <w:rFonts w:ascii="Arial" w:hAnsi="Arial" w:cs="Arial"/>
      <w:sz w:val="18"/>
      <w:szCs w:val="18"/>
    </w:rPr>
  </w:style>
  <w:style w:type="paragraph" w:customStyle="1" w:styleId="Header2">
    <w:name w:val="Header_2"/>
    <w:basedOn w:val="Normal3"/>
    <w:link w:val="HeaderChar2"/>
    <w:uiPriority w:val="99"/>
    <w:locked/>
    <w:pPr>
      <w:tabs>
        <w:tab w:val="center" w:pos="4513"/>
        <w:tab w:val="right" w:pos="9026"/>
      </w:tabs>
      <w:spacing w:after="0" w:line="240" w:lineRule="auto"/>
    </w:pPr>
  </w:style>
  <w:style w:type="paragraph" w:customStyle="1" w:styleId="Normal3">
    <w:name w:val="Normal_3"/>
    <w:semiHidden/>
    <w:qFormat/>
    <w:pPr>
      <w:spacing w:after="120" w:line="240" w:lineRule="atLeast"/>
    </w:pPr>
    <w:rPr>
      <w:rFonts w:ascii="Arial" w:hAnsi="Arial" w:cs="Arial"/>
      <w:sz w:val="18"/>
      <w:szCs w:val="18"/>
    </w:rPr>
  </w:style>
  <w:style w:type="character" w:customStyle="1" w:styleId="HeaderChar2">
    <w:name w:val="Header Char_2"/>
    <w:basedOn w:val="DefaultParagraphFont"/>
    <w:link w:val="Header2"/>
    <w:uiPriority w:val="99"/>
    <w:rPr>
      <w:rFonts w:ascii="Arial" w:hAnsi="Arial" w:cs="Arial"/>
      <w:sz w:val="18"/>
      <w:szCs w:val="18"/>
    </w:rPr>
  </w:style>
  <w:style w:type="paragraph" w:customStyle="1" w:styleId="ESHeading10">
    <w:name w:val="ES_Heading 1_0"/>
    <w:basedOn w:val="Title"/>
    <w:qFormat/>
    <w:rsid w:val="00D4348E"/>
    <w:rPr>
      <w:b w:val="0"/>
      <w:bCs/>
      <w:sz w:val="36"/>
      <w:szCs w:val="36"/>
    </w:rPr>
  </w:style>
  <w:style w:type="paragraph" w:customStyle="1" w:styleId="Style10">
    <w:name w:val="Style1_0"/>
    <w:basedOn w:val="H2"/>
    <w:link w:val="Style1Char0"/>
    <w:qFormat/>
    <w:rsid w:val="00B637FF"/>
    <w:pPr>
      <w:pBdr>
        <w:top w:val="single" w:sz="4" w:space="10" w:color="auto"/>
      </w:pBdr>
      <w:spacing w:before="120"/>
    </w:pPr>
    <w:rPr>
      <w:sz w:val="24"/>
    </w:rPr>
  </w:style>
  <w:style w:type="paragraph" w:customStyle="1" w:styleId="H2">
    <w:name w:val="H2"/>
    <w:link w:val="H2Char"/>
    <w:qFormat/>
    <w:rsid w:val="006825C7"/>
    <w:rPr>
      <w:rFonts w:ascii="Arial" w:hAnsi="Arial" w:eastAsiaTheme="majorEastAsia" w:cstheme="majorBidi"/>
      <w:bCs/>
      <w:color w:val="C00000"/>
      <w:sz w:val="28"/>
      <w:szCs w:val="20"/>
    </w:rPr>
  </w:style>
  <w:style w:type="character" w:customStyle="1" w:styleId="H2Char">
    <w:name w:val="H2 Char"/>
    <w:basedOn w:val="DefaultParagraphFont"/>
    <w:link w:val="H2"/>
    <w:rsid w:val="006825C7"/>
    <w:rPr>
      <w:rFonts w:ascii="Arial" w:hAnsi="Arial" w:eastAsiaTheme="majorEastAsia" w:cstheme="majorBidi"/>
      <w:bCs/>
      <w:color w:val="C00000"/>
      <w:sz w:val="28"/>
      <w:szCs w:val="20"/>
    </w:rPr>
  </w:style>
  <w:style w:type="character" w:customStyle="1" w:styleId="Style1Char0">
    <w:name w:val="Style1 Char_0"/>
    <w:basedOn w:val="H2Char"/>
    <w:link w:val="Style10"/>
    <w:rsid w:val="00B637FF"/>
    <w:rPr>
      <w:rFonts w:ascii="Arial" w:hAnsi="Arial" w:eastAsiaTheme="majorEastAsia" w:cstheme="majorBidi"/>
      <w:bCs/>
      <w:color w:val="C00000"/>
      <w:sz w:val="28"/>
      <w:szCs w:val="20"/>
    </w:rPr>
  </w:style>
  <w:style w:type="paragraph" w:customStyle="1" w:styleId="ESBodyText0">
    <w:name w:val="ES_Body Text_0"/>
    <w:basedOn w:val="Normal"/>
    <w:link w:val="ESBodyTextChar"/>
    <w:qFormat/>
  </w:style>
  <w:style w:type="character" w:customStyle="1" w:styleId="ESBodyTextChar">
    <w:name w:val="ES_Body Text Char"/>
    <w:basedOn w:val="DefaultParagraphFont"/>
    <w:link w:val="ESBodyText0"/>
    <w:rsid w:val="00B637FF"/>
    <w:rPr>
      <w:rFonts w:ascii="Arial" w:hAnsi="Arial" w:cs="Arial"/>
      <w:sz w:val="18"/>
      <w:szCs w:val="18"/>
    </w:rPr>
  </w:style>
  <w:style w:type="paragraph" w:customStyle="1" w:styleId="Body2">
    <w:name w:val="Body 2"/>
    <w:basedOn w:val="ESBodyText0"/>
    <w:link w:val="Body2Char"/>
    <w:qFormat/>
    <w:rsid w:val="00B637FF"/>
    <w:pPr>
      <w:spacing w:after="360"/>
    </w:pPr>
  </w:style>
  <w:style w:type="character" w:customStyle="1" w:styleId="Body2Char">
    <w:name w:val="Body 2 Char"/>
    <w:basedOn w:val="ESBodyTextChar"/>
    <w:link w:val="Body2"/>
    <w:rsid w:val="00B637FF"/>
    <w:rPr>
      <w:rFonts w:ascii="Arial" w:hAnsi="Arial" w:cs="Arial"/>
      <w:sz w:val="18"/>
      <w:szCs w:val="18"/>
    </w:rPr>
  </w:style>
  <w:style w:type="paragraph" w:customStyle="1" w:styleId="ESHeading30">
    <w:name w:val="ES_Heading 3_0"/>
    <w:basedOn w:val="Heading3"/>
    <w:qFormat/>
    <w:rsid w:val="00DF78DF"/>
    <w:rPr>
      <w:sz w:val="18"/>
    </w:rPr>
  </w:style>
  <w:style w:type="table" w:customStyle="1" w:styleId="GridTable2-Accent612">
    <w:name w:val="Grid Table 2 - Accent 612"/>
    <w:basedOn w:val="TableNormal"/>
    <w:uiPriority w:val="47"/>
    <w:rPr>
      <w:rFonts w:eastAsia="Arial"/>
      <w:sz w:val="22"/>
      <w:szCs w:val="22"/>
      <w:lang w:val="en-AU"/>
    </w:rPr>
    <w:tblPr>
      <w:tblStyleRowBandSize w:val="1"/>
      <w:tblStyleColBandSize w:val="1"/>
      <w:tblBorders>
        <w:top w:val="single" w:sz="2" w:space="0" w:color="FFFFFF"/>
        <w:bottom w:val="single" w:sz="2" w:space="0" w:color="FFFFFF"/>
        <w:insideH w:val="single" w:sz="2" w:space="0" w:color="FFFFFF"/>
        <w:insideV w:val="single" w:sz="2" w:space="0" w:color="FFFFFF"/>
      </w:tblBorders>
    </w:tblPr>
    <w:tblStylePr w:type="firstRow">
      <w:rPr>
        <w:b/>
        <w:bCs/>
      </w:rPr>
      <w:tblPr/>
      <w:tcPr>
        <w:tcBorders>
          <w:top w:val="nil"/>
          <w:bottom w:val="single" w:sz="12" w:space="0" w:color="FFFFFF"/>
          <w:insideH w:val="nil"/>
          <w:insideV w:val="nil"/>
        </w:tcBorders>
        <w:shd w:val="clear" w:color="auto" w:fill="AF272F"/>
      </w:tcPr>
    </w:tblStylePr>
    <w:tblStylePr w:type="lastRow">
      <w:rPr>
        <w:b/>
        <w:bCs/>
      </w:rPr>
      <w:tblPr/>
      <w:tcPr>
        <w:tcBorders>
          <w:top w:val="double" w:sz="2" w:space="0" w:color="FFFFFF"/>
          <w:bottom w:val="nil"/>
          <w:insideH w:val="nil"/>
          <w:insideV w:val="nil"/>
        </w:tcBorders>
        <w:shd w:val="clear" w:color="auto" w:fill="AF272F"/>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chart" Target="charts/chart1.xml" /><Relationship Id="rId22" Type="http://schemas.openxmlformats.org/officeDocument/2006/relationships/chart" Target="charts/chart2.xml" /><Relationship Id="rId23" Type="http://schemas.openxmlformats.org/officeDocument/2006/relationships/chart" Target="charts/chart3.xml" /><Relationship Id="rId24" Type="http://schemas.openxmlformats.org/officeDocument/2006/relationships/chart" Target="charts/chart4.xml" /><Relationship Id="rId25" Type="http://schemas.openxmlformats.org/officeDocument/2006/relationships/chart" Target="charts/chart5.xml" /><Relationship Id="rId26" Type="http://schemas.openxmlformats.org/officeDocument/2006/relationships/chart" Target="charts/chart6.xml" /><Relationship Id="rId27" Type="http://schemas.openxmlformats.org/officeDocument/2006/relationships/chart" Target="charts/chart7.xml" /><Relationship Id="rId28" Type="http://schemas.openxmlformats.org/officeDocument/2006/relationships/chart" Target="charts/chart8.xml" /><Relationship Id="rId29" Type="http://schemas.openxmlformats.org/officeDocument/2006/relationships/chart" Target="charts/chart9.xml" /><Relationship Id="rId3" Type="http://schemas.openxmlformats.org/officeDocument/2006/relationships/fontTable" Target="fontTable.xml" /><Relationship Id="rId30" Type="http://schemas.openxmlformats.org/officeDocument/2006/relationships/chart" Target="charts/chart10.xml" /><Relationship Id="rId31" Type="http://schemas.openxmlformats.org/officeDocument/2006/relationships/chart" Target="charts/chart11.xml" /><Relationship Id="rId32" Type="http://schemas.openxmlformats.org/officeDocument/2006/relationships/chart" Target="charts/chart12.xml" /><Relationship Id="rId33" Type="http://schemas.openxmlformats.org/officeDocument/2006/relationships/chart" Target="charts/chart13.xml" /><Relationship Id="rId34" Type="http://schemas.openxmlformats.org/officeDocument/2006/relationships/chart" Target="charts/chart14.xml" /><Relationship Id="rId35" Type="http://schemas.openxmlformats.org/officeDocument/2006/relationships/chart" Target="charts/chart15.xml" /><Relationship Id="rId36" Type="http://schemas.openxmlformats.org/officeDocument/2006/relationships/chart" Target="charts/chart16.xml" /><Relationship Id="rId37" Type="http://schemas.openxmlformats.org/officeDocument/2006/relationships/chart" Target="charts/chart17.xml" /><Relationship Id="rId38" Type="http://schemas.openxmlformats.org/officeDocument/2006/relationships/chart" Target="charts/chart18.xml" /><Relationship Id="rId39" Type="http://schemas.openxmlformats.org/officeDocument/2006/relationships/header" Target="header8.xml" /><Relationship Id="rId4" Type="http://schemas.openxmlformats.org/officeDocument/2006/relationships/customXml" Target="../customXml/item1.xml" /><Relationship Id="rId40" Type="http://schemas.openxmlformats.org/officeDocument/2006/relationships/footer" Target="footer5.xml" /><Relationship Id="rId41" Type="http://schemas.openxmlformats.org/officeDocument/2006/relationships/header" Target="header9.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header4.xml.rels>&#65279;<?xml version="1.0" encoding="utf-8" standalone="yes"?><Relationships xmlns="http://schemas.openxmlformats.org/package/2006/relationships"><Relationship Id="rId1" Type="http://schemas.openxmlformats.org/officeDocument/2006/relationships/image" Target="media/image4.jpeg" /></Relationships>
</file>

<file path=word/_rels/header6.xml.rels>&#65279;<?xml version="1.0" encoding="utf-8" standalone="yes"?><Relationships xmlns="http://schemas.openxmlformats.org/package/2006/relationships"><Relationship Id="rId1" Type="http://schemas.openxmlformats.org/officeDocument/2006/relationships/image" Target="media/image4.jpeg" /></Relationships>
</file>

<file path=word/_rels/header8.xml.rels>&#65279;<?xml version="1.0" encoding="utf-8" standalone="yes"?><Relationships xmlns="http://schemas.openxmlformats.org/package/2006/relationships"><Relationship Id="rId1" Type="http://schemas.openxmlformats.org/officeDocument/2006/relationships/image" Target="media/image4.jpeg" /></Relationships>
</file>

<file path=word/charts/_rels/chart1.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0.xml" /><Relationship Id="rId3" Type="http://schemas.microsoft.com/office/2011/relationships/chartColorStyle" Target="chart/colors10.xml" /><Relationship Id="rId4" Type="http://schemas.microsoft.com/office/2011/relationships/chartStyle" Target="chart/style10.xml" /></Relationships>
</file>

<file path=word/charts/_rels/chart11.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1.xml" /><Relationship Id="rId3" Type="http://schemas.microsoft.com/office/2011/relationships/chartColorStyle" Target="chart/colors11.xml" /><Relationship Id="rId4" Type="http://schemas.microsoft.com/office/2011/relationships/chartStyle" Target="chart/style11.xml" /></Relationships>
</file>

<file path=word/charts/_rels/chart12.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12.xml" /><Relationship Id="rId3" Type="http://schemas.microsoft.com/office/2011/relationships/chartColorStyle" Target="chart/colors12.xml" /><Relationship Id="rId4" Type="http://schemas.microsoft.com/office/2011/relationships/chartStyle" Target="chart/style12.xml" /></Relationships>
</file>

<file path=word/charts/_rels/chart13.xml.rels>&#65279;<?xml version="1.0" encoding="utf-8" standalone="yes"?><Relationships xmlns="http://schemas.openxmlformats.org/package/2006/relationships"><Relationship Id="rId1" Type="http://schemas.openxmlformats.org/officeDocument/2006/relationships/oleObject" Target="file:///C:\Users\09516320\Desktop\School%20Annual%20Report\Chart.xlsx" TargetMode="External" /><Relationship Id="rId2" Type="http://schemas.openxmlformats.org/officeDocument/2006/relationships/themeOverride" Target="../theme/themeOverride13.xml" /><Relationship Id="rId3" Type="http://schemas.microsoft.com/office/2011/relationships/chartColorStyle" Target="chart/colors13.xml" /><Relationship Id="rId4" Type="http://schemas.microsoft.com/office/2011/relationships/chartStyle" Target="chart/style13.xml" /></Relationships>
</file>

<file path=word/charts/_rels/chart14.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4.xml" /><Relationship Id="rId3" Type="http://schemas.microsoft.com/office/2011/relationships/chartColorStyle" Target="chart/colors14.xml" /><Relationship Id="rId4" Type="http://schemas.microsoft.com/office/2011/relationships/chartStyle" Target="chart/style14.xml" /></Relationships>
</file>

<file path=word/charts/_rels/chart15.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5.xml" /><Relationship Id="rId3" Type="http://schemas.microsoft.com/office/2011/relationships/chartColorStyle" Target="chart/colors15.xml" /><Relationship Id="rId4" Type="http://schemas.microsoft.com/office/2011/relationships/chartStyle" Target="chart/style15.xml" /></Relationships>
</file>

<file path=word/charts/_rels/chart16.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6.xml" /><Relationship Id="rId3" Type="http://schemas.microsoft.com/office/2011/relationships/chartColorStyle" Target="chart/colors16.xml" /><Relationship Id="rId4" Type="http://schemas.microsoft.com/office/2011/relationships/chartStyle" Target="chart/style16.xml" /></Relationships>
</file>

<file path=word/charts/_rels/chart17.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7.xml" /><Relationship Id="rId3" Type="http://schemas.microsoft.com/office/2011/relationships/chartColorStyle" Target="chart/colors17.xml" /><Relationship Id="rId4" Type="http://schemas.microsoft.com/office/2011/relationships/chartStyle" Target="chart/style17.xml" /></Relationships>
</file>

<file path=word/charts/_rels/chart18.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18.xml" /><Relationship Id="rId3" Type="http://schemas.microsoft.com/office/2011/relationships/chartColorStyle" Target="chart/colors18.xml" /><Relationship Id="rId4" Type="http://schemas.microsoft.com/office/2011/relationships/chartStyle" Target="chart/style18.xml" /></Relationships>
</file>

<file path=word/charts/_rels/chart2.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&#65279;<?xml version="1.0" encoding="utf-8" standalone="yes"?><Relationships xmlns="http://schemas.openxmlformats.org/package/2006/relationships"><Relationship Id="rId1" Type="http://schemas.openxmlformats.org/officeDocument/2006/relationships/oleObject" Target="file:///C:\Users\08285878\Desktop\prisec_chartSource.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7.xml" /><Relationship Id="rId3" Type="http://schemas.microsoft.com/office/2011/relationships/chartColorStyle" Target="chart/colors7.xml" /><Relationship Id="rId4" Type="http://schemas.microsoft.com/office/2011/relationships/chartStyle" Target="chart/style7.xml" /></Relationships>
</file>

<file path=word/charts/_rels/chart8.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8.xml" /><Relationship Id="rId3" Type="http://schemas.microsoft.com/office/2011/relationships/chartColorStyle" Target="chart/colors8.xml" /><Relationship Id="rId4" Type="http://schemas.microsoft.com/office/2011/relationships/chartStyle" Target="chart/style8.xml" /></Relationships>
</file>

<file path=word/charts/_rels/chart9.xml.rels>&#65279;<?xml version="1.0" encoding="utf-8" standalone="yes"?><Relationships xmlns="http://schemas.openxmlformats.org/package/2006/relationships"><Relationship Id="rId1" Type="http://schemas.openxmlformats.org/officeDocument/2006/relationships/oleObject" Target="file:///C:\Users\08285878\Desktop\AR%202020\mockups\chartSource_prisec.xlsx" TargetMode="External" /><Relationship Id="rId2" Type="http://schemas.openxmlformats.org/officeDocument/2006/relationships/themeOverride" Target="../theme/themeOverride9.xml" /><Relationship Id="rId3" Type="http://schemas.microsoft.com/office/2011/relationships/chartColorStyle" Target="chart/colors9.xml" /><Relationship Id="rId4" Type="http://schemas.microsoft.com/office/2011/relationships/chartStyle" Target="chart/style9.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Parent Satisfaction (latest year)</a:t>
            </a:r>
          </a:p>
        </c:rich>
      </c:tx>
      <c:layout>
        <c:manualLayout>
          <c:xMode val="edge"/>
          <c:yMode val="edge"/>
          <c:x val="0.29811872146118723"/>
          <c:y val="0.0087989441267047955"/>
        </c:manualLayout>
      </c:layout>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7587804264193"/>
          <c:y val="0.14196692913385828"/>
          <c:w val="0.75801416603746452"/>
          <c:h val="0.59968268374724176"/>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prisec!$J$3:$J$4</c:f>
              <c:strCache>
                <c:ptCount val="2"/>
                <c:pt idx="0">
                  <c:v>School</c:v>
                </c:pt>
                <c:pt idx="1">
                  <c:v>State</c:v>
                </c:pt>
              </c:strCache>
            </c:strRef>
          </c:cat>
          <c:val>
            <c:numRef>
              <c:f>prisec!$C$3:$C$4</c:f>
              <c:numCache>
                <c:formatCode>0.0%</c:formatCode>
                <c:ptCount val="2"/>
                <c:pt idx="0">
                  <c:v>0.582</c:v>
                </c:pt>
                <c:pt idx="1">
                  <c:v>0.731</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endorsement</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(2022)</a:t>
            </a:r>
          </a:p>
          <a:p>
            <a:pPr algn="ctr">
              <a:defRPr sz="900" b="1">
                <a:latin typeface="Arial" panose="020B0604020202020204" pitchFamily="34" charset="0"/>
              </a:defRPr>
            </a:pPr>
            <a:r>
              <a:rPr lang="en-AU" sz="900" b="1" baseline="0">
                <a:latin typeface="Arial" panose="020B0604020202020204" pitchFamily="34" charset="0"/>
              </a:rPr>
              <a:t>Year 9</a:t>
            </a:r>
          </a:p>
        </c:rich>
      </c:tx>
      <c:layout>
        <c:manualLayout>
          <c:xMode val="edge"/>
          <c:yMode val="edge"/>
          <c:x val="0.26877066929133853"/>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prisec!$C$99:$C$101</c:f>
              <c:numCache>
                <c:formatCode>0.0%</c:formatCode>
                <c:ptCount val="3"/>
                <c:pt idx="0">
                  <c:v>0.316</c:v>
                </c:pt>
                <c:pt idx="1">
                  <c:v>0.353</c:v>
                </c:pt>
                <c:pt idx="2">
                  <c:v>0.472</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in top three bands</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(2022)</a:t>
            </a:r>
          </a:p>
          <a:p>
            <a:pPr algn="ctr">
              <a:defRPr sz="900" b="1">
                <a:latin typeface="Arial" panose="020B0604020202020204" pitchFamily="34" charset="0"/>
              </a:defRPr>
            </a:pPr>
            <a:r>
              <a:rPr lang="en-AU" sz="900" b="1" baseline="0">
                <a:latin typeface="Arial" panose="020B0604020202020204" pitchFamily="34" charset="0"/>
              </a:rPr>
              <a:t>Year 7</a:t>
            </a:r>
          </a:p>
        </c:rich>
      </c:tx>
      <c:layout>
        <c:manualLayout>
          <c:xMode val="edge"/>
          <c:yMode val="edge"/>
          <c:x val="0.25627066929133857"/>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prisec!$F$89:$F$91</c:f>
              <c:numCache>
                <c:formatCode>0.0%</c:formatCode>
                <c:ptCount val="3"/>
                <c:pt idx="0">
                  <c:v>0.431</c:v>
                </c:pt>
                <c:pt idx="1">
                  <c:v>0.417</c:v>
                </c:pt>
                <c:pt idx="2">
                  <c:v>0.525</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in top three bands</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(2022)</a:t>
            </a:r>
          </a:p>
          <a:p>
            <a:pPr algn="ctr">
              <a:defRPr sz="900" b="1">
                <a:latin typeface="Arial" panose="020B0604020202020204" pitchFamily="34" charset="0"/>
              </a:defRPr>
            </a:pPr>
            <a:r>
              <a:rPr lang="en-AU" sz="900" b="1" baseline="0">
                <a:latin typeface="Arial" panose="020B0604020202020204" pitchFamily="34" charset="0"/>
              </a:rPr>
              <a:t>Year 9</a:t>
            </a:r>
          </a:p>
        </c:rich>
      </c:tx>
      <c:layout>
        <c:manualLayout>
          <c:xMode val="edge"/>
          <c:yMode val="edge"/>
          <c:x val="0.25627066929133857"/>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prisec!$F$99:$F$101</c:f>
              <c:numCache>
                <c:formatCode>0.0%</c:formatCode>
                <c:ptCount val="3"/>
                <c:pt idx="0">
                  <c:v>0.255</c:v>
                </c:pt>
                <c:pt idx="1">
                  <c:v>0.323</c:v>
                </c:pt>
                <c:pt idx="2">
                  <c:v>0.447</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in top three bands</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Victorian Senior Secondary Certificate (latest year)</a:t>
            </a:r>
          </a:p>
        </c:rich>
      </c:tx>
      <c:layout>
        <c:manualLayout>
          <c:xMode val="edge"/>
          <c:yMode val="edge"/>
          <c:x val="0.17478655767484105"/>
          <c:y val="0.0071301247771836"/>
        </c:manualLayout>
      </c:layout>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7901738845144358"/>
          <c:y val="0.15530026246719161"/>
          <c:w val="0.754875"/>
          <c:h val="0.59562030681993627"/>
        </c:manualLayout>
      </c:layout>
      <c:barChart>
        <c:barDir val="bar"/>
        <c:grouping val="clustered"/>
        <c:varyColors val="0"/>
        <c:ser>
          <c:idx val="1"/>
          <c:order val="0"/>
          <c:tx>
            <c:strRef>
              <c:f>Sheet1!$I$3:$I$5</c:f>
              <c:strCache>
                <c:ptCount val="3"/>
                <c:pt idx="0">
                  <c:v>School</c:v>
                </c:pt>
                <c:pt idx="1">
                  <c:v>Similar Schools</c:v>
                </c:pt>
                <c:pt idx="2">
                  <c:v>State</c:v>
                </c:pt>
              </c:strCache>
            </c:strRef>
          </c:tx>
          <c:spPr>
            <a:solidFill>
              <a:schemeClr val="accent2"/>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Sheet1!$I$3:$I$5</c:f>
              <c:strCache>
                <c:ptCount val="3"/>
                <c:pt idx="0">
                  <c:v>School</c:v>
                </c:pt>
                <c:pt idx="1">
                  <c:v>Similar Schools</c:v>
                </c:pt>
                <c:pt idx="2">
                  <c:v>State</c:v>
                </c:pt>
              </c:strCache>
            </c:strRef>
          </c:cat>
          <c:val>
            <c:numRef>
              <c:f>Sheet1!$J$3:$J$5</c:f>
              <c:numCache>
                <c:formatCode>0.0%</c:formatCode>
                <c:ptCount val="3"/>
                <c:pt idx="0">
                  <c:v>0.994252</c:v>
                </c:pt>
                <c:pt idx="1">
                  <c:v>0.962041</c:v>
                </c:pt>
                <c:pt idx="2">
                  <c:v>0.965686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Completion Rate</a:t>
                </a:r>
              </a:p>
            </c:rich>
          </c:tx>
          <c:spPr>
            <a:noFill/>
            <a:ln>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Sense of Connectedness (latest year)</a:t>
            </a:r>
          </a:p>
          <a:p>
            <a:pPr>
              <a:defRPr sz="900" b="1">
                <a:latin typeface="Arial" panose="020B0604020202020204" pitchFamily="34" charset="0"/>
              </a:defRPr>
            </a:pPr>
            <a:r>
              <a:rPr lang="en-AU" sz="900" b="1" i="0" baseline="0">
                <a:latin typeface="Arial" panose="020B0604020202020204" pitchFamily="34" charset="0"/>
              </a:rPr>
              <a:t>Years 7 to 12</a:t>
            </a:r>
          </a:p>
        </c:rich>
      </c:tx>
      <c:layout>
        <c:manualLayout>
          <c:xMode val="edge"/>
          <c:yMode val="edge"/>
          <c:x val="0.25420054200542"/>
          <c:y val="0.04060913705583756"/>
        </c:manualLayout>
      </c:layout>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31840551181102"/>
          <c:y val="0.21530026246719161"/>
          <c:w val="0.75070833333333331"/>
          <c:h val="0.57034383202099737"/>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prisec!$D$174:$D$176</c:f>
              <c:numCache>
                <c:formatCode>0.0%</c:formatCode>
                <c:ptCount val="3"/>
                <c:pt idx="0">
                  <c:v>0.430177</c:v>
                </c:pt>
                <c:pt idx="1">
                  <c:v>0.454903</c:v>
                </c:pt>
                <c:pt idx="2">
                  <c:v>0.453036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Percentage endorsement</a:t>
                </a:r>
              </a:p>
            </c:rich>
          </c:tx>
          <c:spPr>
            <a:noFill/>
            <a:ln>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Management of Bullying (latest year)</a:t>
            </a:r>
          </a:p>
          <a:p>
            <a:pPr>
              <a:defRPr sz="900" b="1">
                <a:latin typeface="Arial" panose="020B0604020202020204" pitchFamily="34" charset="0"/>
              </a:defRPr>
            </a:pPr>
            <a:r>
              <a:rPr lang="en-AU" sz="900" b="1" i="0" baseline="0">
                <a:latin typeface="Arial" panose="020B0604020202020204" pitchFamily="34" charset="0"/>
              </a:rPr>
              <a:t>Years 7 to 12</a:t>
            </a:r>
          </a:p>
        </c:rich>
      </c:tx>
      <c:layout>
        <c:manualLayout>
          <c:xMode val="edge"/>
          <c:yMode val="edge"/>
          <c:x val="0.2615598659923607"/>
          <c:y val="0.040000000000000008"/>
        </c:manualLayout>
      </c:layout>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31840551181102"/>
          <c:y val="0.21557233917188923"/>
          <c:w val="0.75070833333333331"/>
          <c:h val="0.57007177674219289"/>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prisec!$D$195:$D$197</c:f>
              <c:numCache>
                <c:formatCode>0.0%</c:formatCode>
                <c:ptCount val="3"/>
                <c:pt idx="0">
                  <c:v>0.447196</c:v>
                </c:pt>
                <c:pt idx="1">
                  <c:v>0.466751</c:v>
                </c:pt>
                <c:pt idx="2">
                  <c:v>0.46553</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Percentage endorsement</a:t>
                </a:r>
              </a:p>
            </c:rich>
          </c:tx>
          <c:spPr>
            <a:noFill/>
            <a:ln>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Student Absence (latest year)</a:t>
            </a:r>
          </a:p>
          <a:p>
            <a:pPr>
              <a:defRPr sz="900" b="1">
                <a:latin typeface="Arial" panose="020B0604020202020204" pitchFamily="34" charset="0"/>
              </a:defRPr>
            </a:pPr>
            <a:r>
              <a:rPr lang="en-AU" sz="900" b="1" i="0" baseline="0">
                <a:latin typeface="Arial" panose="020B0604020202020204" pitchFamily="34" charset="0"/>
              </a:rPr>
              <a:t>Years 7 to 12</a:t>
            </a:r>
          </a:p>
        </c:rich>
      </c:tx>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31840551181102"/>
          <c:y val="0.20196692913385828"/>
          <c:w val="0.75070833333333331"/>
          <c:h val="0.57007177674219289"/>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prisec!$C$131:$C$133</c:f>
              <c:numCache>
                <c:formatCode>0.0</c:formatCode>
                <c:ptCount val="3"/>
                <c:pt idx="0">
                  <c:v>29.552423</c:v>
                </c:pt>
                <c:pt idx="1">
                  <c:v>28.346819</c:v>
                </c:pt>
                <c:pt idx="2">
                  <c:v>28.364859</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50"/>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Average number of absence days</a:t>
                </a:r>
              </a:p>
            </c:rich>
          </c:tx>
          <c:spPr>
            <a:noFill/>
            <a:ln>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Student Retention (latest year)</a:t>
            </a:r>
          </a:p>
          <a:p>
            <a:pPr>
              <a:defRPr sz="900" b="1">
                <a:latin typeface="Arial" panose="020B0604020202020204" pitchFamily="34" charset="0"/>
              </a:defRPr>
            </a:pPr>
            <a:r>
              <a:rPr lang="en-AU" sz="900" b="1" i="0" baseline="0">
                <a:latin typeface="Arial" panose="020B0604020202020204" pitchFamily="34" charset="0"/>
              </a:rPr>
              <a:t>Year 7 to Year 10</a:t>
            </a:r>
          </a:p>
        </c:rich>
      </c:tx>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31840551181102"/>
          <c:y val="0.20196692913385828"/>
          <c:w val="0.74001319353797357"/>
          <c:h val="0.563475171664148"/>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prisec!$B$142:$B$144</c:f>
              <c:numCache>
                <c:formatCode>0.0%</c:formatCode>
                <c:ptCount val="3"/>
                <c:pt idx="0">
                  <c:v>0.723</c:v>
                </c:pt>
                <c:pt idx="1">
                  <c:v>0.748</c:v>
                </c:pt>
                <c:pt idx="2">
                  <c:v>0.726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 of students retained</a:t>
                </a:r>
              </a:p>
            </c:rich>
          </c:tx>
          <c:layout>
            <c:manualLayout>
              <c:xMode val="edge"/>
              <c:yMode val="edge"/>
              <c:x val="0.31955422684463913"/>
              <c:y val="0.893253797820727"/>
            </c:manualLayout>
          </c:layout>
          <c:spPr>
            <a:noFill/>
            <a:ln>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Student Exits (latest year)</a:t>
            </a:r>
          </a:p>
          <a:p>
            <a:pPr>
              <a:defRPr sz="900" b="1">
                <a:latin typeface="Arial" panose="020B0604020202020204" pitchFamily="34" charset="0"/>
              </a:defRPr>
            </a:pPr>
            <a:r>
              <a:rPr lang="en-AU" sz="900" b="1" i="0" baseline="0">
                <a:latin typeface="Arial" panose="020B0604020202020204" pitchFamily="34" charset="0"/>
              </a:rPr>
              <a:t>Years 10 to 12</a:t>
            </a:r>
          </a:p>
        </c:rich>
      </c:tx>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31840551181102"/>
          <c:y val="0.20863359580052493"/>
          <c:w val="0.75070833333333331"/>
          <c:h val="0.55090098887769579"/>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prisec!$B$153:$B$155</c:f>
              <c:numCache>
                <c:formatCode>0.0%</c:formatCode>
                <c:ptCount val="3"/>
                <c:pt idx="0">
                  <c:v>0.993</c:v>
                </c:pt>
                <c:pt idx="1">
                  <c:v>0.899</c:v>
                </c:pt>
                <c:pt idx="2">
                  <c:v>0.895</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r>
                  <a:rPr lang="en-AU" baseline="0">
                    <a:latin typeface="Arial" panose="020B0604020202020204" pitchFamily="34" charset="0"/>
                  </a:rPr>
                  <a:t>Percent of students with positive destinations</a:t>
                </a:r>
              </a:p>
            </c:rich>
          </c:tx>
          <c:layout>
            <c:manualLayout>
              <c:xMode val="edge"/>
              <c:yMode val="edge"/>
              <c:x val="0.18459218273391506"/>
              <c:y val="0.88995240640611828"/>
            </c:manualLayout>
          </c:layout>
          <c:spPr>
            <a:noFill/>
            <a:ln>
              <a:noFill/>
            </a:ln>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School Climate (latest year)</a:t>
            </a:r>
          </a:p>
        </c:rich>
      </c:tx>
      <c:layout>
        <c:manualLayout>
          <c:xMode val="edge"/>
          <c:yMode val="edge"/>
          <c:x val="0.33046332605467232"/>
          <c:y val="0.017597888253409591"/>
        </c:manualLayout>
      </c:layout>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31840551181102"/>
          <c:y val="0.15956504117143736"/>
          <c:w val="0.75070833333333331"/>
          <c:h val="0.582389166334753"/>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prisec!$J$3:$J$4</c:f>
              <c:strCache>
                <c:ptCount val="2"/>
                <c:pt idx="0">
                  <c:v>School</c:v>
                </c:pt>
                <c:pt idx="1">
                  <c:v>State</c:v>
                </c:pt>
              </c:strCache>
            </c:strRef>
          </c:cat>
          <c:val>
            <c:numRef>
              <c:f>prisec!$C$14:$C$15</c:f>
              <c:numCache>
                <c:formatCode>0.0%</c:formatCode>
                <c:ptCount val="2"/>
                <c:pt idx="0">
                  <c:v>0.389</c:v>
                </c:pt>
                <c:pt idx="1">
                  <c:v>0.572</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endorsement</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English (latest year)</a:t>
            </a:r>
          </a:p>
          <a:p>
            <a:pPr>
              <a:defRPr sz="900" b="1">
                <a:latin typeface="Arial" panose="020B0604020202020204" pitchFamily="34" charset="0"/>
              </a:defRPr>
            </a:pPr>
            <a:r>
              <a:rPr lang="en-AU" sz="900" b="1" i="0" baseline="0">
                <a:latin typeface="Arial" panose="020B0604020202020204" pitchFamily="34" charset="0"/>
              </a:rPr>
              <a:t>Years 7 to 10</a:t>
            </a:r>
          </a:p>
        </c:rich>
      </c:tx>
      <c:layout>
        <c:manualLayout>
          <c:xMode val="edge"/>
          <c:yMode val="edge"/>
          <c:x val="0.39169637043451411"/>
          <c:y val="0.04"/>
        </c:manualLayout>
      </c:layout>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9906397889522121"/>
          <c:y val="0.20863359580052493"/>
          <c:w val="0.7067493673265266"/>
          <c:h val="0.55701049868766406"/>
        </c:manualLayout>
      </c:layout>
      <c:barChart>
        <c:barDir val="bar"/>
        <c:grouping val="clustered"/>
        <c:varyColors val="0"/>
        <c:ser>
          <c:idx val="0"/>
          <c:order val="0"/>
          <c:tx>
            <c:strRef>
              <c:f>prisec!$C$36</c:f>
              <c:strCache>
                <c:ptCount val="1"/>
                <c:pt idx="0">
                  <c:v>85.4%</c:v>
                </c:pt>
              </c:strCache>
            </c:strRef>
          </c:tx>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prisec!$C$36:$C$38</c:f>
              <c:numCache>
                <c:formatCode>0.0%</c:formatCode>
                <c:ptCount val="3"/>
                <c:pt idx="0">
                  <c:v>0.757</c:v>
                </c:pt>
                <c:pt idx="1">
                  <c:v>0.671</c:v>
                </c:pt>
                <c:pt idx="2">
                  <c:v>0.755</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at or above age expected level</a:t>
                </a:r>
              </a:p>
            </c:rich>
          </c:tx>
          <c:layout>
            <c:manualLayout>
              <c:xMode val="edge"/>
              <c:yMode val="edge"/>
              <c:x val="0.16558229454054815"/>
              <c:y val="0.89363254593175856"/>
            </c:manualLayout>
          </c:layout>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i="0" baseline="0">
                <a:latin typeface="Arial" panose="020B0604020202020204" pitchFamily="34" charset="0"/>
              </a:rPr>
              <a:t>Mathematics (latest year)</a:t>
            </a:r>
          </a:p>
          <a:p>
            <a:pPr>
              <a:defRPr sz="900" b="1">
                <a:latin typeface="Arial" panose="020B0604020202020204" pitchFamily="34" charset="0"/>
              </a:defRPr>
            </a:pPr>
            <a:r>
              <a:rPr lang="en-AU" sz="900" b="1" i="0" baseline="0">
                <a:latin typeface="Arial" panose="020B0604020202020204" pitchFamily="34" charset="0"/>
              </a:rPr>
              <a:t>Years 7 to 10</a:t>
            </a:r>
          </a:p>
        </c:rich>
      </c:tx>
      <c:spPr>
        <a:noFill/>
        <a:ln>
          <a:noFill/>
        </a:ln>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9224385954313256"/>
          <c:y val="0.20863359580052493"/>
          <c:w val="0.7067493673265266"/>
          <c:h val="0.56367716535433066"/>
        </c:manualLayout>
      </c:layout>
      <c:barChart>
        <c:barDir val="bar"/>
        <c:grouping val="clustered"/>
        <c:varyColors val="0"/>
        <c:ser>
          <c:idx val="0"/>
          <c:order val="0"/>
          <c:tx>
            <c:strRef>
              <c:f>prisec!$C$58</c:f>
              <c:strCache>
                <c:ptCount val="1"/>
                <c:pt idx="0">
                  <c:v>72.1%</c:v>
                </c:pt>
              </c:strCache>
            </c:strRef>
          </c:tx>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numFmt formatCode="0.0%" sourceLinked="0"/>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prisec!$C$58:$C$60</c:f>
              <c:numCache>
                <c:formatCode>0.0%</c:formatCode>
                <c:ptCount val="3"/>
                <c:pt idx="0">
                  <c:v>0.53</c:v>
                </c:pt>
                <c:pt idx="1">
                  <c:v>0.576</c:v>
                </c:pt>
                <c:pt idx="2">
                  <c:v>0.682</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min val="0"/>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at or above age expected level</a:t>
                </a:r>
              </a:p>
            </c:rich>
          </c:tx>
          <c:layout>
            <c:manualLayout>
              <c:xMode val="edge"/>
              <c:yMode val="edge"/>
              <c:x val="0.15535211551241518"/>
              <c:y val="0.89363254593175856"/>
            </c:manualLayout>
          </c:layout>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(latest year)</a:t>
            </a:r>
          </a:p>
          <a:p>
            <a:pPr algn="ctr">
              <a:defRPr sz="900" b="1">
                <a:latin typeface="Arial" panose="020B0604020202020204" pitchFamily="34" charset="0"/>
              </a:defRPr>
            </a:pPr>
            <a:r>
              <a:rPr lang="en-AU" sz="900" b="1" baseline="0">
                <a:latin typeface="Arial" panose="020B0604020202020204" pitchFamily="34" charset="0"/>
              </a:rPr>
              <a:t>Year 7</a:t>
            </a:r>
          </a:p>
        </c:rich>
      </c:tx>
      <c:layout>
        <c:manualLayout>
          <c:xMode val="edge"/>
          <c:yMode val="edge"/>
          <c:x val="0.27293733595800523"/>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prisec!$C$89:$C$91</c:f>
              <c:numCache>
                <c:formatCode>0.0%</c:formatCode>
                <c:ptCount val="3"/>
                <c:pt idx="0">
                  <c:v>0.602</c:v>
                </c:pt>
                <c:pt idx="1">
                  <c:v>0.581</c:v>
                </c:pt>
                <c:pt idx="2">
                  <c:v>0.661</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0" i="0" u="none" strike="noStrike" kern="1200" baseline="0">
                    <a:solidFill>
                      <a:sysClr val="windowText" lastClr="000000">
                        <a:lumMod val="65000"/>
                        <a:lumOff val="35000"/>
                      </a:sysClr>
                    </a:solidFill>
                    <a:latin typeface="Arial" panose="020B0604020202020204" pitchFamily="34" charset="0"/>
                  </a:rPr>
                  <a:t>Percentage of students in Strong or Exceeding</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(latest year)</a:t>
            </a:r>
          </a:p>
          <a:p>
            <a:pPr algn="ctr">
              <a:defRPr sz="900" b="1">
                <a:latin typeface="Arial" panose="020B0604020202020204" pitchFamily="34" charset="0"/>
              </a:defRPr>
            </a:pPr>
            <a:r>
              <a:rPr lang="en-AU" sz="900" b="1" baseline="0">
                <a:latin typeface="Arial" panose="020B0604020202020204" pitchFamily="34" charset="0"/>
              </a:rPr>
              <a:t>Year 9</a:t>
            </a:r>
          </a:p>
        </c:rich>
      </c:tx>
      <c:layout>
        <c:manualLayout>
          <c:xMode val="edge"/>
          <c:yMode val="edge"/>
          <c:x val="0.26877066929133853"/>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prisec!$C$99:$C$101</c:f>
              <c:numCache>
                <c:formatCode>0.0%</c:formatCode>
                <c:ptCount val="3"/>
                <c:pt idx="0">
                  <c:v>0.462</c:v>
                </c:pt>
                <c:pt idx="1">
                  <c:v>0.486</c:v>
                </c:pt>
                <c:pt idx="2">
                  <c:v>0.6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0" i="0" u="none" strike="noStrike" kern="1200" baseline="0">
                    <a:solidFill>
                      <a:sysClr val="windowText" lastClr="000000">
                        <a:lumMod val="65000"/>
                        <a:lumOff val="35000"/>
                      </a:sysClr>
                    </a:solidFill>
                    <a:latin typeface="Arial" panose="020B0604020202020204" pitchFamily="34" charset="0"/>
                  </a:rPr>
                  <a:t>Percentage of students in Strong or Exceeding</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(latest year)</a:t>
            </a:r>
          </a:p>
          <a:p>
            <a:pPr algn="ctr">
              <a:defRPr sz="900" b="1">
                <a:latin typeface="Arial" panose="020B0604020202020204" pitchFamily="34" charset="0"/>
              </a:defRPr>
            </a:pPr>
            <a:r>
              <a:rPr lang="en-AU" sz="900" b="1" baseline="0">
                <a:latin typeface="Arial" panose="020B0604020202020204" pitchFamily="34" charset="0"/>
              </a:rPr>
              <a:t>Year 7</a:t>
            </a:r>
          </a:p>
        </c:rich>
      </c:tx>
      <c:layout>
        <c:manualLayout>
          <c:xMode val="edge"/>
          <c:yMode val="edge"/>
          <c:x val="0.25627066929133857"/>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prisec!$F$89:$F$91</c:f>
              <c:numCache>
                <c:formatCode>0.0%</c:formatCode>
                <c:ptCount val="3"/>
                <c:pt idx="0">
                  <c:v>0.568</c:v>
                </c:pt>
                <c:pt idx="1">
                  <c:v>0.53</c:v>
                </c:pt>
                <c:pt idx="2">
                  <c:v>0.629</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0" i="0" u="none" strike="noStrike" kern="1200" baseline="0">
                    <a:solidFill>
                      <a:sysClr val="windowText" lastClr="000000">
                        <a:lumMod val="65000"/>
                        <a:lumOff val="35000"/>
                      </a:sysClr>
                    </a:solidFill>
                    <a:latin typeface="Arial" panose="020B0604020202020204" pitchFamily="34" charset="0"/>
                  </a:rPr>
                  <a:t>Percentage of students in Strong or Exceeding</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Numeracy (latest year)</a:t>
            </a:r>
          </a:p>
          <a:p>
            <a:pPr algn="ctr">
              <a:defRPr sz="900" b="1">
                <a:latin typeface="Arial" panose="020B0604020202020204" pitchFamily="34" charset="0"/>
              </a:defRPr>
            </a:pPr>
            <a:r>
              <a:rPr lang="en-AU" sz="900" b="1" baseline="0">
                <a:latin typeface="Arial" panose="020B0604020202020204" pitchFamily="34" charset="0"/>
              </a:rPr>
              <a:t>Year 9</a:t>
            </a:r>
          </a:p>
        </c:rich>
      </c:tx>
      <c:layout>
        <c:manualLayout>
          <c:xMode val="edge"/>
          <c:yMode val="edge"/>
          <c:x val="0.25627066929133857"/>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prisec!$F$99:$F$101</c:f>
              <c:numCache>
                <c:formatCode>0.0%</c:formatCode>
                <c:ptCount val="3"/>
                <c:pt idx="0">
                  <c:v>0.482</c:v>
                </c:pt>
                <c:pt idx="1">
                  <c:v>0.492</c:v>
                </c:pt>
                <c:pt idx="2">
                  <c:v>0.599</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0" i="0" u="none" strike="noStrike" kern="1200" baseline="0">
                    <a:solidFill>
                      <a:sysClr val="windowText" lastClr="000000">
                        <a:lumMod val="65000"/>
                        <a:lumOff val="35000"/>
                      </a:sysClr>
                    </a:solidFill>
                    <a:latin typeface="Arial" panose="020B0604020202020204" pitchFamily="34" charset="0"/>
                  </a:rPr>
                  <a:t>Percentage of students in Strong or Exceeding</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lang val="en-US"/>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r>
              <a:rPr lang="en-AU" sz="900" b="1" baseline="0">
                <a:latin typeface="Arial" panose="020B0604020202020204" pitchFamily="34" charset="0"/>
              </a:rPr>
              <a:t>NAPLAN Reading (2022)</a:t>
            </a:r>
          </a:p>
          <a:p>
            <a:pPr algn="ctr">
              <a:defRPr sz="900" b="1">
                <a:latin typeface="Arial" panose="020B0604020202020204" pitchFamily="34" charset="0"/>
              </a:defRPr>
            </a:pPr>
            <a:r>
              <a:rPr lang="en-AU" sz="900" b="1" baseline="0">
                <a:latin typeface="Arial" panose="020B0604020202020204" pitchFamily="34" charset="0"/>
              </a:rPr>
              <a:t>Year 7</a:t>
            </a:r>
          </a:p>
        </c:rich>
      </c:tx>
      <c:layout>
        <c:manualLayout>
          <c:xMode val="edge"/>
          <c:yMode val="edge"/>
          <c:x val="0.27293733595800523"/>
          <c:y val="0.046666666666666669"/>
        </c:manualLayout>
      </c:layout>
      <c:spPr>
        <a:noFill/>
        <a:ln>
          <a:noFill/>
        </a:ln>
      </c:spPr>
      <c:txPr>
        <a:bodyPr rot="0" spcFirstLastPara="1" vertOverflow="ellipsis" vert="horz" wrap="square" anchor="ctr" anchorCtr="1"/>
        <a:lstStyle/>
        <a:p>
          <a:pPr algn="ctr">
            <a:defRPr sz="900" b="1"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plotArea>
      <c:layout>
        <c:manualLayout>
          <c:layoutTarget val="inner"/>
          <c:xMode val="edge"/>
          <c:yMode val="edge"/>
          <c:x val="0.18238549868766404"/>
          <c:y val="0.20863359580052493"/>
          <c:w val="0.75070833333333331"/>
          <c:h val="0.55034383202099735"/>
        </c:manualLayout>
      </c:layout>
      <c:barChart>
        <c:barDir val="bar"/>
        <c:grouping val="clustered"/>
        <c:varyColors val="0"/>
        <c:ser>
          <c:idx val="0"/>
          <c:order val="0"/>
          <c:spPr>
            <a:solidFill>
              <a:schemeClr val="accent1"/>
            </a:solidFill>
            <a:ln>
              <a:noFill/>
            </a:ln>
          </c:spPr>
          <c:dPt>
            <c:idx val="0"/>
            <c:invertIfNegative val="0"/>
            <c:bubble3D val="0"/>
            <c:spPr>
              <a:solidFill>
                <a:srgbClr val="FFC000"/>
              </a:solidFill>
              <a:ln>
                <a:noFill/>
              </a:ln>
            </c:spPr>
          </c:dPt>
          <c:dPt>
            <c:idx val="1"/>
            <c:invertIfNegative val="0"/>
            <c:bubble3D val="0"/>
            <c:spPr>
              <a:solidFill>
                <a:srgbClr val="7030A0"/>
              </a:solidFill>
              <a:ln>
                <a:noFill/>
              </a:ln>
            </c:spPr>
          </c:dPt>
          <c:dPt>
            <c:idx val="2"/>
            <c:invertIfNegative val="0"/>
            <c:bubble3D val="0"/>
            <c:spPr>
              <a:solidFill>
                <a:schemeClr val="bg1">
                  <a:lumMod val="65000"/>
                </a:schemeClr>
              </a:solidFill>
              <a:ln>
                <a:noFill/>
              </a:ln>
            </c:spPr>
          </c:dPt>
          <c:dLbls>
            <c:spPr>
              <a:noFill/>
              <a:ln>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showLegendKey val="0"/>
            <c:showVal val="1"/>
            <c:showCatName val="0"/>
            <c:showSerName val="0"/>
            <c:showPercent val="0"/>
            <c:showBubbleSize val="0"/>
            <c:showLeaderLines val="0"/>
            <c:extLst>
              <c:ext xmlns:c="http://schemas.openxmlformats.org/drawingml/2006/chart" xmlns:c15="http://schemas.microsoft.com/office/drawing/2012/chart" uri="{CE6537A1-D6FC-4f65-9D91-7224C49458BB}">
                <c15:showLeaderLines val="1"/>
                <c15:leaderLines>
                  <c:spPr>
                    <a:ln xmlns:a="http://schemas.openxmlformats.org/drawingml/2006/main" algn="ctr" cap="flat" cmpd="sng" w="9525">
                      <a:solidFill>
                        <a:schemeClr val="tx1">
                          <a:lumMod val="35000"/>
                          <a:lumOff val="65000"/>
                        </a:schemeClr>
                      </a:solidFill>
                      <a:round/>
                    </a:ln>
                    <a:effectLst xmlns:a="http://schemas.openxmlformats.org/drawingml/2006/main"/>
                  </c:spPr>
                </c15:leaderLines>
              </c:ext>
            </c:extLst>
          </c:dLbls>
          <c:cat>
            <c:strRef>
              <c:f>prisec!$K$3:$K$5</c:f>
              <c:strCache>
                <c:ptCount val="3"/>
                <c:pt idx="0">
                  <c:v>School</c:v>
                </c:pt>
                <c:pt idx="1">
                  <c:v>Similar
Schools</c:v>
                </c:pt>
                <c:pt idx="2">
                  <c:v>State</c:v>
                </c:pt>
              </c:strCache>
            </c:strRef>
          </c:cat>
          <c:val>
            <c:numRef>
              <c:f>prisec!$C$89:$C$91</c:f>
              <c:numCache>
                <c:formatCode>0.0%</c:formatCode>
                <c:ptCount val="3"/>
                <c:pt idx="0">
                  <c:v>0.414</c:v>
                </c:pt>
                <c:pt idx="1">
                  <c:v>0.446</c:v>
                </c:pt>
                <c:pt idx="2">
                  <c:v>0.546</c:v>
                </c:pt>
              </c:numCache>
            </c:numRef>
          </c:val>
        </c:ser>
        <c:dLbls>
          <c:showLegendKey val="0"/>
          <c:showVal val="0"/>
          <c:showCatName val="0"/>
          <c:showSerName val="0"/>
          <c:showPercent val="0"/>
          <c:showBubbleSize val="0"/>
        </c:dLbls>
        <c:gapWidth val="20"/>
        <c:axId val="1883423744"/>
        <c:axId val="1742861088"/>
      </c:barChart>
      <c:catAx>
        <c:axId val="1883423744"/>
        <c:scaling>
          <c:orientation val="maxMin"/>
        </c:scaling>
        <c:axPos val="l"/>
        <c:numFmt formatCode="General" sourceLinked="1"/>
        <c:majorTickMark val="none"/>
        <c:minorTickMark val="none"/>
        <c:tickLblPos val="nextTo"/>
        <c:spPr>
          <a:noFill/>
          <a:ln w="9525">
            <a:solidFill>
              <a:schemeClr val="tx1">
                <a:lumMod val="15000"/>
                <a:lumOff val="85000"/>
              </a:schemeClr>
            </a:solidFill>
            <a:round/>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742861088"/>
        <c:crosses val="autoZero"/>
        <c:auto val="1"/>
        <c:lblAlgn val="ctr"/>
        <c:lblOffset val="100"/>
      </c:catAx>
      <c:valAx>
        <c:axId val="1742861088"/>
        <c:scaling>
          <c:orientation val="minMax"/>
          <c:max val="1"/>
        </c:scaling>
        <c:axPos val="b"/>
        <c:majorGridlines>
          <c:spPr>
            <a:ln w="9525">
              <a:solidFill>
                <a:schemeClr val="tx1">
                  <a:lumMod val="15000"/>
                  <a:lumOff val="85000"/>
                </a:schemeClr>
              </a:solidFill>
              <a:round/>
            </a:ln>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r>
                  <a:rPr lang="en-AU" sz="900" baseline="0">
                    <a:latin typeface="Arial" panose="020B0604020202020204" pitchFamily="34" charset="0"/>
                  </a:rPr>
                  <a:t>Percentage of students in top three bands</a:t>
                </a:r>
              </a:p>
            </c:rich>
          </c:tx>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0%" sourceLinked="0"/>
        <c:majorTickMark val="none"/>
        <c:minorTickMark val="none"/>
        <c:tickLblPos val="nextTo"/>
        <c:spPr>
          <a:noFill/>
          <a:ln>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883423744"/>
        <c:crosses val="max"/>
        <c:crossBetween val="between"/>
        <c:majorUnit val="0.2"/>
      </c:valAx>
      <c:spPr>
        <a:noFill/>
        <a:ln>
          <a:solidFill>
            <a:schemeClr val="bg1">
              <a:lumMod val="75000"/>
            </a:schemeClr>
          </a:solidFill>
        </a:ln>
      </c:spPr>
    </c:plotArea>
    <c:plotVisOnly val="1"/>
    <c:dispBlanksAs val="gap"/>
  </c:chart>
  <c:spPr>
    <a:solidFill>
      <a:schemeClr val="bg1"/>
    </a:solidFill>
    <a:ln w="9525">
      <a:noFill/>
      <a:round/>
    </a:ln>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0.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1.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2.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3.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4.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5.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6.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7.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18.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2.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3.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4.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5.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6.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7.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8.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word/theme/themeOverride9.xml><?xml version="1.0" encoding="utf-8"?>
<a:themeOverride xmlns:a="http://schemas.openxmlformats.org/drawingml/2006/main">
  <a:clrScheme xmlns:a="http://schemas.openxmlformats.org/drawingml/2006/main" name="Custom 3">
    <a:dk1>
      <a:sysClr lastClr="000000" val="windowText"/>
    </a:dk1>
    <a:lt1>
      <a:sysClr lastClr="FFFFFF" val="window"/>
    </a:lt1>
    <a:dk2>
      <a:srgbClr val="1F497D"/>
    </a:dk2>
    <a:lt2>
      <a:srgbClr val="EEECE1"/>
    </a:lt2>
    <a:accent1>
      <a:srgbClr val="4F81BD"/>
    </a:accent1>
    <a:accent2>
      <a:srgbClr val="AF272F"/>
    </a:accent2>
    <a:accent3>
      <a:srgbClr val="9BBB59"/>
    </a:accent3>
    <a:accent4>
      <a:srgbClr val="8064A2"/>
    </a:accent4>
    <a:accent5>
      <a:srgbClr val="4BACC6"/>
    </a:accent5>
    <a:accent6>
      <a:srgbClr val="F79646"/>
    </a:accent6>
    <a:hlink>
      <a:srgbClr val="0000FF"/>
    </a:hlink>
    <a:folHlink>
      <a:srgbClr val="800080"/>
    </a:folHlink>
  </a:clrScheme>
  <a:fontScheme xmlns:a="http://schemas.openxmlformats.org/drawingml/2006/main"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algn="ctr" cap="flat" cmpd="sng" w="9525">
        <a:solidFill>
          <a:schemeClr val="phClr">
            <a:shade val="95000"/>
            <a:satMod val="105000"/>
          </a:schemeClr>
        </a:solidFill>
        <a:prstDash val="solid"/>
      </a:ln>
      <a:ln algn="ctr" cap="flat" cmpd="sng" w="25400">
        <a:solidFill>
          <a:schemeClr val="phClr"/>
        </a:solidFill>
        <a:prstDash val="solid"/>
      </a:ln>
      <a:ln algn="ctr" cap="flat" cmpd="sng" w="38100">
        <a:solidFill>
          <a:schemeClr val="phClr"/>
        </a:solidFill>
        <a:prstDash val="solid"/>
      </a:ln>
    </a:lnStyleLst>
    <a:effectStyleLst>
      <a:effectStyle>
        <a:effectLst>
          <a:outerShdw blurRad="40000" dir="5400000" dist="20000" rotWithShape="0">
            <a:srgbClr val="000000">
              <a:alpha val="38000"/>
            </a:srgbClr>
          </a:outerShdw>
        </a:effectLst>
      </a:effectStyle>
      <a:effectStyle>
        <a:effectLst>
          <a:outerShdw blurRad="40000" dir="5400000" dist="23000" rotWithShape="0">
            <a:srgbClr val="000000">
              <a:alpha val="35000"/>
            </a:srgbClr>
          </a:outerShdw>
        </a:effectLst>
      </a:effectStyle>
      <a:effectStyle>
        <a:effectLst>
          <a:outerShdw blurRad="40000" dir="5400000" dist="23000" rotWithShape="0">
            <a:srgbClr val="000000">
              <a:alpha val="35000"/>
            </a:srgbClr>
          </a:outerShdw>
        </a:effectLst>
        <a:scene3d>
          <a:camera prst="orthographicFront">
            <a:rot lat="0" lon="0" rev="0"/>
          </a:camera>
          <a:lightRig dir="t" rig="threeP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b="180000" l="50000" r="50000" t="-80000"/>
        </a:path>
      </a:gradFill>
      <a:gradFill rotWithShape="1">
        <a:gsLst>
          <a:gs pos="0">
            <a:schemeClr val="phClr">
              <a:tint val="80000"/>
              <a:satMod val="300000"/>
            </a:schemeClr>
          </a:gs>
          <a:gs pos="100000">
            <a:schemeClr val="phClr">
              <a:shade val="30000"/>
              <a:satMod val="200000"/>
            </a:schemeClr>
          </a:gs>
        </a:gsLst>
        <a:path path="circle">
          <a:fillToRect b="50000" l="50000" r="50000" t="50000"/>
        </a:path>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1A5CD6-AA6C-4BE3-828C-139AD76D24DD}">
  <ds:schemaRefs>
    <ds:schemaRef ds:uri="http://schemas.openxmlformats.org/officeDocument/2006/bibliography"/>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5.xml><?xml version="1.0" encoding="utf-8"?>
<ds:datastoreItem xmlns:ds="http://schemas.openxmlformats.org/officeDocument/2006/customXml" ds:itemID="{42BA66E8-BEDF-4CC9-A9D0-A0D341F95659}">
  <ds:schemaRefs>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Matthew Crilly</cp:lastModifiedBy>
  <cp:revision>16</cp:revision>
  <dcterms:created xsi:type="dcterms:W3CDTF">2022-02-23T06:44:00Z</dcterms:created>
  <dcterms:modified xsi:type="dcterms:W3CDTF">2024-02-08T00:23:00Z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